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国网托克逊县供电公司关于托克逊县第十七届人民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代表五次会议第6</w:t>
      </w:r>
      <w:r>
        <w:rPr>
          <w:rFonts w:hint="cs" w:ascii="方正小标宋简体" w:hAnsi="方正小标宋简体" w:eastAsia="方正小标宋简体" w:cs="Times New Roman"/>
          <w:sz w:val="36"/>
          <w:szCs w:val="36"/>
          <w:rtl/>
          <w:lang w:val="en-US" w:eastAsia="zh-CN" w:bidi="ar-SA"/>
        </w:rPr>
        <w:t>8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号议案答复函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米合热古丽·买买提代表：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您提出的关于居民电采暖电价的议案收悉，现答复如下：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一、电价的制定与执行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年的电采暖电价由新疆维吾尔自治区发展改革委员会制定（电采暖电价每个采暖季节都有所变化），供电公司为电价执行部门，严格按照新疆维吾尔自治区发展改革委员会下发的文件执行。以下为2020年春季电采暖电价：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1月1日至4月15日：平段时段电价0.2681元/千瓦时；平段（12小时，9：00-14：00，16：00-23：00），低谷时段电价0.1561元/千瓦时；谷段（12小时，23：00-9：00，14：00-16：00）。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二、节约电费建议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供暖电费是由各时段电供暖电价与各时段用电量相乘所得，由于部分客户需长时间开启电采暖设备，且在平段开启时间较长相对增加电费开支。针对此情况，建议客户在平段时段关闭或调低设备开启档位以减少平段用电量，在谷段调高档位增加电热出力，增加谷段用电量，降低综合电价达到节约电费的效果。</w:t>
      </w:r>
    </w:p>
    <w:p>
      <w:pPr>
        <w:numPr>
          <w:ilvl w:val="0"/>
          <w:numId w:val="0"/>
        </w:numPr>
        <w:ind w:firstLine="640" w:firstLineChars="200"/>
        <w:jc w:val="both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特此复函。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LKATIP Basma Tom">
    <w:panose1 w:val="02000000000000000000"/>
    <w:charset w:val="00"/>
    <w:family w:val="auto"/>
    <w:pitch w:val="default"/>
    <w:sig w:usb0="80006003" w:usb1="A0010458" w:usb2="00000008" w:usb3="00000000" w:csb0="0000004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480393"/>
    <w:rsid w:val="5A76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2020-06-04T09:59:34Z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