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B1200" w:rsidRDefault="00D32285">
      <w:pPr>
        <w:jc w:val="center"/>
        <w:rPr>
          <w:rFonts w:ascii="Times New Roman" w:eastAsia="方正小标宋简体" w:hAnsi="Times New Roman" w:cs="Times New Roman"/>
          <w:color w:val="FF0000"/>
          <w:spacing w:val="20"/>
          <w:w w:val="120"/>
          <w:sz w:val="96"/>
          <w:szCs w:val="96"/>
        </w:rPr>
      </w:pPr>
      <w:r>
        <w:rPr>
          <w:rFonts w:ascii="Times New Roman" w:eastAsia="方正小标宋简体" w:hAnsi="Times New Roman" w:cs="Times New Roman"/>
          <w:noProof/>
          <w:color w:val="FF0000"/>
          <w:spacing w:val="20"/>
          <w:w w:val="120"/>
        </w:rPr>
        <mc:AlternateContent>
          <mc:Choice Requires="wps">
            <w:drawing>
              <wp:anchor distT="0" distB="0" distL="114300" distR="114300" simplePos="0" relativeHeight="251658240" behindDoc="0" locked="0" layoutInCell="1" allowOverlap="1">
                <wp:simplePos x="0" y="0"/>
                <wp:positionH relativeFrom="column">
                  <wp:posOffset>-304165</wp:posOffset>
                </wp:positionH>
                <wp:positionV relativeFrom="page">
                  <wp:posOffset>1605280</wp:posOffset>
                </wp:positionV>
                <wp:extent cx="6153785" cy="0"/>
                <wp:effectExtent l="0" t="28575" r="18415" b="28575"/>
                <wp:wrapNone/>
                <wp:docPr id="1" name="直线 2"/>
                <wp:cNvGraphicFramePr/>
                <a:graphic xmlns:a="http://schemas.openxmlformats.org/drawingml/2006/main">
                  <a:graphicData uri="http://schemas.microsoft.com/office/word/2010/wordprocessingShape">
                    <wps:wsp>
                      <wps:cNvCnPr/>
                      <wps:spPr>
                        <a:xfrm>
                          <a:off x="0" y="0"/>
                          <a:ext cx="6153785" cy="0"/>
                        </a:xfrm>
                        <a:prstGeom prst="line">
                          <a:avLst/>
                        </a:prstGeom>
                        <a:ln w="57150" cap="flat" cmpd="thickThin">
                          <a:solidFill>
                            <a:srgbClr val="FF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直线 2" o:spid="_x0000_s1026" o:spt="20" style="position:absolute;left:0pt;margin-left:-23.95pt;margin-top:126.4pt;height:0pt;width:484.55pt;mso-position-vertical-relative:page;z-index:251658240;mso-width-relative:page;mso-height-relative:page;" filled="f" stroked="t" coordsize="21600,21600" o:gfxdata="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DFhi7WAAAACwEAAA8AAAAAAAAA&#10;AQAgAAAAIgAAAGRycy9kb3ducmV2LnhtbFBLAQIUABQAAAAIAIdO4kDT/D/52gEAAKIDAAAOAAAA&#10;AAAAAAEAIAAAACUBAABkcnMvZTJvRG9jLnhtbFBLBQYAAAAABgAGAFkBAABxBQAAAAA=&#10;">
                <v:fill on="f" focussize="0,0"/>
                <v:stroke weight="4.5pt" color="#FF0000" linestyle="thickThin" joinstyle="round"/>
                <v:imagedata o:title=""/>
                <o:lock v:ext="edit" aspectratio="f"/>
              </v:line>
            </w:pict>
          </mc:Fallback>
        </mc:AlternateContent>
      </w:r>
      <w:r>
        <w:rPr>
          <w:rFonts w:ascii="Times New Roman" w:eastAsia="方正小标宋简体" w:hAnsi="Times New Roman" w:cs="Times New Roman"/>
          <w:color w:val="FF0000"/>
          <w:spacing w:val="20"/>
          <w:w w:val="120"/>
          <w:sz w:val="96"/>
          <w:szCs w:val="96"/>
        </w:rPr>
        <w:t>托克逊县公安局</w:t>
      </w:r>
    </w:p>
    <w:p w:rsidR="002B1200" w:rsidRDefault="00D32285">
      <w:pPr>
        <w:spacing w:line="560" w:lineRule="exact"/>
        <w:jc w:val="center"/>
        <w:rPr>
          <w:rFonts w:ascii="Times New Roman" w:eastAsia="仿宋_GB2312" w:hAnsi="Times New Roman" w:cs="Times New Roman"/>
          <w:color w:val="000000" w:themeColor="text1"/>
          <w:sz w:val="32"/>
          <w:szCs w:val="32"/>
          <w:shd w:val="clear" w:color="auto" w:fill="FFFFFF"/>
        </w:rPr>
      </w:pPr>
      <w:r>
        <w:rPr>
          <w:rFonts w:ascii="Times New Roman" w:eastAsia="仿宋_GB2312" w:hAnsi="Times New Roman" w:cs="Times New Roman"/>
          <w:color w:val="000000" w:themeColor="text1"/>
          <w:sz w:val="32"/>
          <w:szCs w:val="32"/>
          <w:shd w:val="clear" w:color="auto" w:fill="FFFFFF"/>
        </w:rPr>
        <w:t xml:space="preserve">                                 </w:t>
      </w:r>
    </w:p>
    <w:p w:rsidR="00294E87" w:rsidRDefault="00294E87" w:rsidP="00294E87">
      <w:pPr>
        <w:spacing w:line="560" w:lineRule="exact"/>
        <w:jc w:val="center"/>
        <w:rPr>
          <w:rFonts w:ascii="黑体" w:eastAsia="黑体"/>
          <w:sz w:val="44"/>
          <w:szCs w:val="44"/>
        </w:rPr>
      </w:pPr>
      <w:r>
        <w:rPr>
          <w:rFonts w:ascii="方正小标宋简体" w:eastAsia="方正小标宋简体" w:hAnsi="仿宋" w:hint="eastAsia"/>
          <w:b/>
          <w:sz w:val="44"/>
          <w:szCs w:val="44"/>
        </w:rPr>
        <w:t>关于对托克逊县十七届人民代表大会第五次会议第64号提案的答复函</w:t>
      </w:r>
    </w:p>
    <w:p w:rsidR="00294E87" w:rsidRDefault="00294E87" w:rsidP="00294E87">
      <w:pPr>
        <w:spacing w:line="560" w:lineRule="exact"/>
        <w:jc w:val="left"/>
        <w:rPr>
          <w:rFonts w:ascii="仿宋_GB2312" w:eastAsia="仿宋_GB2312"/>
          <w:sz w:val="32"/>
          <w:szCs w:val="32"/>
        </w:rPr>
      </w:pPr>
    </w:p>
    <w:p w:rsidR="00294E87" w:rsidRDefault="00294E87" w:rsidP="00294E87">
      <w:pPr>
        <w:spacing w:line="560" w:lineRule="exact"/>
        <w:jc w:val="left"/>
        <w:rPr>
          <w:rFonts w:ascii="仿宋_GB2312" w:eastAsia="仿宋_GB2312"/>
          <w:sz w:val="32"/>
          <w:szCs w:val="32"/>
        </w:rPr>
      </w:pPr>
      <w:r>
        <w:rPr>
          <w:rFonts w:ascii="仿宋_GB2312" w:eastAsia="仿宋_GB2312" w:hint="eastAsia"/>
          <w:sz w:val="32"/>
          <w:szCs w:val="32"/>
        </w:rPr>
        <w:t>尊敬的海尼木古丽·伊萨克委员：</w:t>
      </w:r>
    </w:p>
    <w:p w:rsidR="00294E87" w:rsidRDefault="00294E87" w:rsidP="00294E87">
      <w:pPr>
        <w:spacing w:line="560" w:lineRule="exact"/>
        <w:ind w:firstLine="630"/>
        <w:jc w:val="left"/>
        <w:rPr>
          <w:rFonts w:ascii="仿宋_GB2312" w:eastAsia="仿宋_GB2312"/>
          <w:sz w:val="32"/>
          <w:szCs w:val="32"/>
        </w:rPr>
      </w:pPr>
      <w:r>
        <w:rPr>
          <w:rFonts w:ascii="仿宋_GB2312" w:eastAsia="仿宋_GB2312" w:hint="eastAsia"/>
          <w:sz w:val="32"/>
          <w:szCs w:val="32"/>
        </w:rPr>
        <w:t>您提出的“人口统计工作（全民体检、参保）”的议案已收悉。现将办理情况答复如下：</w:t>
      </w:r>
    </w:p>
    <w:p w:rsidR="00294E87" w:rsidRDefault="00294E87" w:rsidP="00294E87">
      <w:pPr>
        <w:spacing w:line="560" w:lineRule="exact"/>
        <w:ind w:firstLine="630"/>
        <w:jc w:val="left"/>
        <w:rPr>
          <w:rFonts w:ascii="仿宋_GB2312" w:eastAsia="仿宋_GB2312"/>
          <w:sz w:val="32"/>
          <w:szCs w:val="32"/>
        </w:rPr>
      </w:pPr>
      <w:r>
        <w:rPr>
          <w:rFonts w:ascii="仿宋_GB2312" w:eastAsia="仿宋_GB2312" w:hint="eastAsia"/>
          <w:sz w:val="32"/>
          <w:szCs w:val="32"/>
        </w:rPr>
        <w:t>首先，向多年来关心公安工作的各位人大代表、政协委员致以崇高的谢意！</w:t>
      </w:r>
    </w:p>
    <w:p w:rsidR="00294E87" w:rsidRDefault="00294E87" w:rsidP="00294E87">
      <w:pPr>
        <w:spacing w:line="560" w:lineRule="exact"/>
        <w:ind w:firstLine="630"/>
        <w:jc w:val="left"/>
        <w:rPr>
          <w:rFonts w:ascii="黑体" w:eastAsia="黑体" w:hAnsi="黑体"/>
          <w:b/>
          <w:sz w:val="32"/>
          <w:szCs w:val="32"/>
        </w:rPr>
      </w:pPr>
      <w:r>
        <w:rPr>
          <w:rFonts w:ascii="黑体" w:eastAsia="黑体" w:hAnsi="黑体" w:hint="eastAsia"/>
          <w:b/>
          <w:sz w:val="32"/>
          <w:szCs w:val="32"/>
        </w:rPr>
        <w:t>一、2019年人口统计工作情况。</w:t>
      </w:r>
    </w:p>
    <w:p w:rsidR="00294E87" w:rsidRDefault="00294E87" w:rsidP="00294E87">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2019年，托克逊县总户数41800户，总人口为118631</w:t>
      </w:r>
      <w:r w:rsidR="00A12654">
        <w:rPr>
          <w:rFonts w:ascii="仿宋_GB2312" w:eastAsia="仿宋_GB2312" w:hAnsi="黑体" w:hint="eastAsia"/>
          <w:sz w:val="32"/>
          <w:szCs w:val="32"/>
        </w:rPr>
        <w:t>人</w:t>
      </w:r>
      <w:r>
        <w:rPr>
          <w:rFonts w:ascii="仿宋_GB2312" w:eastAsia="仿宋_GB2312" w:hAnsi="黑体" w:hint="eastAsia"/>
          <w:sz w:val="32"/>
          <w:szCs w:val="32"/>
        </w:rPr>
        <w:t>，平均每户2.84人，与去年119683人相比减少1052人，下降8.8‰；全县出生合计978人（其中男性492人，女性486人），全年按365天计算平均每天出生婴儿2.68人，出生率8.13‰，与去年11.53‰下降了3.40‰；全年死亡775人，其中男性443人，女性332人，平均每天死亡2.123人，死亡率为6.5‰，比去年11.64‰减少5.14‰；全年自然增长人数203人，人口自然增长率1.7‰；全年共迁入463人（省内迁入331人，省外迁入132人），迁出1718人（迁往省内1476人，迁往省外242人）。</w:t>
      </w:r>
    </w:p>
    <w:p w:rsidR="00475F40" w:rsidRDefault="00475F40" w:rsidP="00294E87">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托克逊县域内乡镇间的流动人口为12609人，其中仅县内</w:t>
      </w:r>
      <w:r>
        <w:rPr>
          <w:rFonts w:ascii="仿宋_GB2312" w:eastAsia="仿宋_GB2312" w:hAnsi="黑体" w:hint="eastAsia"/>
          <w:sz w:val="32"/>
          <w:szCs w:val="32"/>
        </w:rPr>
        <w:lastRenderedPageBreak/>
        <w:t>其他乡镇户籍人口在城镇居住的流动人口为9405人。</w:t>
      </w:r>
    </w:p>
    <w:p w:rsidR="00294E87" w:rsidRDefault="00294E87" w:rsidP="00294E87">
      <w:pPr>
        <w:spacing w:line="560" w:lineRule="exact"/>
        <w:ind w:firstLine="640"/>
        <w:rPr>
          <w:rFonts w:ascii="黑体" w:eastAsia="黑体" w:hAnsi="黑体"/>
          <w:b/>
          <w:sz w:val="32"/>
          <w:szCs w:val="32"/>
        </w:rPr>
      </w:pPr>
      <w:r>
        <w:rPr>
          <w:rFonts w:ascii="黑体" w:eastAsia="黑体" w:hAnsi="黑体" w:hint="eastAsia"/>
          <w:b/>
          <w:sz w:val="32"/>
          <w:szCs w:val="32"/>
        </w:rPr>
        <w:t>二、立户、出生报户、户口迁移相关政策。</w:t>
      </w:r>
    </w:p>
    <w:p w:rsidR="00294E87" w:rsidRDefault="00294E87" w:rsidP="00294E87">
      <w:pPr>
        <w:spacing w:line="560" w:lineRule="exact"/>
        <w:ind w:firstLine="640"/>
        <w:rPr>
          <w:rFonts w:ascii="黑体" w:eastAsia="黑体" w:hAnsi="黑体"/>
          <w:sz w:val="32"/>
          <w:szCs w:val="32"/>
        </w:rPr>
      </w:pPr>
      <w:r>
        <w:rPr>
          <w:rFonts w:ascii="仿宋_GB2312" w:eastAsia="仿宋_GB2312" w:hAnsi="黑体" w:hint="eastAsia"/>
          <w:b/>
          <w:sz w:val="32"/>
          <w:szCs w:val="32"/>
        </w:rPr>
        <w:t>（一）立户。</w:t>
      </w:r>
      <w:r>
        <w:rPr>
          <w:rFonts w:ascii="仿宋_GB2312" w:eastAsia="仿宋_GB2312" w:hAnsi="黑体" w:hint="eastAsia"/>
          <w:sz w:val="32"/>
          <w:szCs w:val="32"/>
        </w:rPr>
        <w:t>《新疆维吾尔自治区常住户口登记管理规范》有如下规范内容：</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第二十六条</w:t>
      </w:r>
      <w:r>
        <w:rPr>
          <w:rFonts w:ascii="宋体" w:eastAsia="宋体" w:hAnsi="宋体" w:cs="宋体" w:hint="eastAsia"/>
          <w:sz w:val="32"/>
          <w:szCs w:val="32"/>
        </w:rPr>
        <w:t> </w:t>
      </w:r>
      <w:r>
        <w:rPr>
          <w:rFonts w:ascii="仿宋_GB2312" w:eastAsia="仿宋_GB2312" w:hAnsi="黑体" w:hint="eastAsia"/>
          <w:sz w:val="32"/>
          <w:szCs w:val="32"/>
        </w:rPr>
        <w:t xml:space="preserve"> 户口登记以户为单位。共同居住生活在同一住址的常住人口，立为一户。一个家庭分居数处且独立生活的，应当分别立户。单身居住的，可以单独立为一户。</w:t>
      </w:r>
    </w:p>
    <w:p w:rsidR="00294E87" w:rsidRDefault="00294E87" w:rsidP="00294E87">
      <w:pPr>
        <w:snapToGrid w:val="0"/>
        <w:spacing w:line="560" w:lineRule="exact"/>
        <w:rPr>
          <w:rFonts w:ascii="仿宋_GB2312" w:eastAsia="仿宋_GB2312" w:hAnsi="黑体"/>
          <w:sz w:val="32"/>
          <w:szCs w:val="32"/>
        </w:rPr>
      </w:pPr>
      <w:r>
        <w:rPr>
          <w:rFonts w:ascii="仿宋_GB2312" w:eastAsia="仿宋_GB2312" w:hAnsi="黑体" w:hint="eastAsia"/>
          <w:sz w:val="32"/>
          <w:szCs w:val="32"/>
        </w:rPr>
        <w:t>城镇一个住址原则上只登记一个家庭户口。农村居住一处各自独立生活的，可根据实际，各自立户。非住宅用房和违法建造的房屋不予立户。</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第二十九条</w:t>
      </w:r>
      <w:r>
        <w:rPr>
          <w:rFonts w:ascii="宋体" w:eastAsia="宋体" w:hAnsi="宋体" w:cs="宋体" w:hint="eastAsia"/>
          <w:sz w:val="32"/>
          <w:szCs w:val="32"/>
        </w:rPr>
        <w:t> </w:t>
      </w:r>
      <w:r>
        <w:rPr>
          <w:rFonts w:ascii="仿宋_GB2312" w:eastAsia="仿宋_GB2312" w:hAnsi="黑体" w:hint="eastAsia"/>
          <w:sz w:val="32"/>
          <w:szCs w:val="32"/>
        </w:rPr>
        <w:t xml:space="preserve"> 符合下列条件的，申报家庭户立户登记：</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（一）私有房屋产权证；</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（二）公有房屋租赁使用证明；</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（三）国土资源、房产管理等行政主管部门出具的有关房屋所有权或者使用权的相应凭证；</w:t>
      </w:r>
    </w:p>
    <w:p w:rsidR="00294E87" w:rsidRDefault="00294E87" w:rsidP="00294E87">
      <w:pPr>
        <w:snapToGrid w:val="0"/>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（四）其他能够证明房屋所有权或者使用权属于申请人的证明。</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b/>
          <w:sz w:val="32"/>
          <w:szCs w:val="32"/>
        </w:rPr>
        <w:t>（二）出生报户。</w:t>
      </w:r>
      <w:r>
        <w:rPr>
          <w:rFonts w:ascii="仿宋_GB2312" w:eastAsia="仿宋_GB2312" w:hAnsi="黑体" w:hint="eastAsia"/>
          <w:sz w:val="32"/>
          <w:szCs w:val="32"/>
        </w:rPr>
        <w:t>《新疆维吾尔自治区常住户口登记管理规范》有如下规范内容：</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第三十九条   婴儿出生登记实行随父随母自愿原则。</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第四十条   婴儿（包括违反计划生育政策出生、非婚生育的婴儿）出生后应在一年内，其父母或监护人应向婴儿父亲或母亲常住户口所在地公安派出所申报出生登记。</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b/>
          <w:sz w:val="32"/>
          <w:szCs w:val="32"/>
        </w:rPr>
        <w:t>（三）户口迁移。</w:t>
      </w:r>
      <w:r>
        <w:rPr>
          <w:rFonts w:ascii="仿宋_GB2312" w:eastAsia="仿宋_GB2312" w:hAnsi="黑体" w:hint="eastAsia"/>
          <w:sz w:val="32"/>
          <w:szCs w:val="32"/>
        </w:rPr>
        <w:t>《新疆维吾尔自治区常住户口登记管理</w:t>
      </w:r>
      <w:r>
        <w:rPr>
          <w:rFonts w:ascii="仿宋_GB2312" w:eastAsia="仿宋_GB2312" w:hAnsi="黑体" w:hint="eastAsia"/>
          <w:sz w:val="32"/>
          <w:szCs w:val="32"/>
        </w:rPr>
        <w:lastRenderedPageBreak/>
        <w:t>规范》有如下规范内容：</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第四条   公民应当依照本规范在经常居住地登记常住户口，一个公民只能在一个地方登记常住户口。公民的户口迁移，遵循经常居住地登记户口和人户一致的原则，实行条件准入制。</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第五条   办理户口登记、变更、迁移等户口管理事项应由本人和户主前往公安派出所申报，未成年人或限制民事行为责任人应由监护人或户主申报。</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第八十九条   公民离开常住户口登记地到另一常住地实际长期居住的，应当向公安机关申报户口迁移登记。</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第九十条   户口迁移应当由迁移人本人凭居民身份证、居民户口簿等相关手续到公安机关办理。迁移人因故无法亲自办理迁移手续的，可书面委托具有民事行为能力的家庭成员持本人居民身份证、居民户口簿办理。整户迁移的，可由户主代行办理迁移手续。无民事行为能力和限制民事行为能力人的户口迁移由其监护人办理。</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第九十二条   户口迁移一般首先应在迁入地公安机关办理户口《准予迁入证明》，再持户口《准予迁入证明》等手续到迁出地公安机关办理《户口迁移证》，然后持《户口迁移证》等手续到迁入地公安机关办理落户。</w:t>
      </w:r>
    </w:p>
    <w:p w:rsidR="00294E87" w:rsidRDefault="00294E87" w:rsidP="00294E87">
      <w:pPr>
        <w:spacing w:line="560" w:lineRule="exact"/>
        <w:ind w:firstLine="640"/>
        <w:rPr>
          <w:rFonts w:ascii="黑体" w:eastAsia="黑体" w:hAnsi="黑体"/>
          <w:b/>
          <w:sz w:val="32"/>
          <w:szCs w:val="32"/>
        </w:rPr>
      </w:pPr>
      <w:r>
        <w:rPr>
          <w:rFonts w:ascii="黑体" w:eastAsia="黑体" w:hAnsi="黑体" w:hint="eastAsia"/>
          <w:b/>
          <w:sz w:val="32"/>
          <w:szCs w:val="32"/>
        </w:rPr>
        <w:t>三、采取的工作措施。</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1、根据《新疆维吾尔自治区贯彻落实国务院推动1亿非户籍人口在城市落户的实施方案》，我县放开城镇户口迁移条件，创新户籍管理制度和方法，简化办理程序和手续，最大限度方便非户籍人口在城镇落户，全面实施居住证制度，促进有能力</w:t>
      </w:r>
      <w:r>
        <w:rPr>
          <w:rFonts w:ascii="仿宋_GB2312" w:eastAsia="仿宋_GB2312" w:hAnsi="黑体" w:hint="eastAsia"/>
          <w:sz w:val="32"/>
          <w:szCs w:val="32"/>
        </w:rPr>
        <w:lastRenderedPageBreak/>
        <w:t>在城镇稳定就业和生活的农业转移人口举家进城落户，推动非户籍人口在城市落户。</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2、以在城镇稳定就业居住的人口、农村学生升学参军进入城镇的人口、举家迁徙的农业转移人口、新生代农民工为重点，以合法稳定住所和稳定职业为主要标准，促进有能力在城镇稳定就业和生活的农业转移人口举家进城落户，</w:t>
      </w:r>
      <w:r>
        <w:rPr>
          <w:rFonts w:ascii="仿宋_GB2312" w:eastAsia="仿宋_GB2312" w:hAnsi="仿宋" w:hint="eastAsia"/>
          <w:sz w:val="32"/>
          <w:szCs w:val="32"/>
        </w:rPr>
        <w:t>及时动员已经在城镇有固定住所的人员，将户口迁移至固定住所住址。</w:t>
      </w:r>
    </w:p>
    <w:p w:rsidR="00294E87" w:rsidRDefault="00294E87" w:rsidP="00294E87">
      <w:pPr>
        <w:spacing w:line="560" w:lineRule="exact"/>
        <w:ind w:firstLine="640"/>
        <w:rPr>
          <w:rFonts w:ascii="仿宋_GB2312" w:eastAsia="仿宋_GB2312" w:hAnsi="仿宋"/>
          <w:sz w:val="32"/>
          <w:szCs w:val="32"/>
        </w:rPr>
      </w:pPr>
      <w:r>
        <w:rPr>
          <w:rFonts w:ascii="仿宋_GB2312" w:eastAsia="仿宋_GB2312" w:hAnsi="黑体" w:hint="eastAsia"/>
          <w:sz w:val="32"/>
          <w:szCs w:val="32"/>
        </w:rPr>
        <w:t>3、</w:t>
      </w:r>
      <w:r>
        <w:rPr>
          <w:rFonts w:ascii="仿宋_GB2312" w:eastAsia="仿宋_GB2312" w:hAnsi="仿宋" w:hint="eastAsia"/>
          <w:sz w:val="32"/>
          <w:szCs w:val="32"/>
        </w:rPr>
        <w:t>全面放开对高校毕业生、技术工人、职业院校毕业生、留学归国人员的落户限制。实行农村籍高校学生来去自由的落户政策，高校录取的农村籍学生可根据本人意愿，将户口迁至高校所在地，毕业后可根据本人意愿，将户口迁回原籍地或迁入就（创）业地。</w:t>
      </w:r>
    </w:p>
    <w:p w:rsidR="00294E87" w:rsidRDefault="00294E87" w:rsidP="00294E87">
      <w:pPr>
        <w:spacing w:line="560" w:lineRule="exact"/>
        <w:ind w:firstLine="640"/>
        <w:rPr>
          <w:rFonts w:ascii="黑体" w:eastAsia="黑体" w:hAnsi="黑体"/>
          <w:b/>
          <w:sz w:val="32"/>
          <w:szCs w:val="32"/>
        </w:rPr>
      </w:pPr>
      <w:r>
        <w:rPr>
          <w:rFonts w:ascii="黑体" w:eastAsia="黑体" w:hAnsi="黑体" w:hint="eastAsia"/>
          <w:b/>
          <w:sz w:val="32"/>
          <w:szCs w:val="32"/>
        </w:rPr>
        <w:t>四、形成该问题的原因。</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1、近年农村惠民政策较好，在农村可以享受到富民安居房、土地承包、医保、内初高班等多项优惠政策，许多在城市没有固定职业、收入不高的人员担心户口迁入城镇后，将失去一系列农村惠民政策而不愿意将户口迁移到城镇，</w:t>
      </w:r>
      <w:r w:rsidR="00621C94">
        <w:rPr>
          <w:rFonts w:ascii="仿宋_GB2312" w:eastAsia="仿宋_GB2312" w:hAnsi="黑体" w:hint="eastAsia"/>
          <w:sz w:val="32"/>
          <w:szCs w:val="32"/>
        </w:rPr>
        <w:t>造成</w:t>
      </w:r>
      <w:r>
        <w:rPr>
          <w:rFonts w:ascii="仿宋_GB2312" w:eastAsia="仿宋_GB2312" w:hAnsi="黑体" w:hint="eastAsia"/>
          <w:sz w:val="32"/>
          <w:szCs w:val="32"/>
        </w:rPr>
        <w:t>人户分离。</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2、按照《新疆维吾尔自治区常住户口登记管理规范》要求：婴儿出生登记实行随父随母自愿原则</w:t>
      </w:r>
      <w:r w:rsidR="00775BF8">
        <w:rPr>
          <w:rFonts w:ascii="仿宋_GB2312" w:eastAsia="仿宋_GB2312" w:hAnsi="黑体" w:hint="eastAsia"/>
          <w:sz w:val="32"/>
          <w:szCs w:val="32"/>
        </w:rPr>
        <w:t>。</w:t>
      </w:r>
      <w:r>
        <w:rPr>
          <w:rFonts w:ascii="仿宋_GB2312" w:eastAsia="仿宋_GB2312" w:hAnsi="黑体" w:hint="eastAsia"/>
          <w:sz w:val="32"/>
          <w:szCs w:val="32"/>
        </w:rPr>
        <w:t>如果父母其中一方为农业户口，群众为了享受农业户口各项优惠政策，会选择在农业户口的父或母一方进行落户</w:t>
      </w:r>
      <w:r w:rsidR="00621C94">
        <w:rPr>
          <w:rFonts w:ascii="仿宋_GB2312" w:eastAsia="仿宋_GB2312" w:hAnsi="黑体" w:hint="eastAsia"/>
          <w:sz w:val="32"/>
          <w:szCs w:val="32"/>
        </w:rPr>
        <w:t>，但</w:t>
      </w:r>
      <w:r w:rsidR="006F4404">
        <w:rPr>
          <w:rFonts w:ascii="仿宋_GB2312" w:eastAsia="仿宋_GB2312" w:hAnsi="黑体" w:hint="eastAsia"/>
          <w:sz w:val="32"/>
          <w:szCs w:val="32"/>
        </w:rPr>
        <w:t>父母的</w:t>
      </w:r>
      <w:r w:rsidR="00621C94">
        <w:rPr>
          <w:rFonts w:ascii="仿宋_GB2312" w:eastAsia="仿宋_GB2312" w:hAnsi="黑体" w:hint="eastAsia"/>
          <w:sz w:val="32"/>
          <w:szCs w:val="32"/>
        </w:rPr>
        <w:t>实际居住地在城镇，造成人户分离。</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3、有</w:t>
      </w:r>
      <w:r w:rsidR="00621C94">
        <w:rPr>
          <w:rFonts w:ascii="仿宋_GB2312" w:eastAsia="仿宋_GB2312" w:hAnsi="黑体" w:hint="eastAsia"/>
          <w:sz w:val="32"/>
          <w:szCs w:val="32"/>
        </w:rPr>
        <w:t>部分人</w:t>
      </w:r>
      <w:r>
        <w:rPr>
          <w:rFonts w:ascii="仿宋_GB2312" w:eastAsia="仿宋_GB2312" w:hAnsi="黑体" w:hint="eastAsia"/>
          <w:sz w:val="32"/>
          <w:szCs w:val="32"/>
        </w:rPr>
        <w:t>虽然在城镇生活，愿意将户籍迁入城镇，但因为无合法稳定住所和稳定职业，或不符合政策要求的迁入条件，</w:t>
      </w:r>
      <w:r>
        <w:rPr>
          <w:rFonts w:ascii="仿宋_GB2312" w:eastAsia="仿宋_GB2312" w:hAnsi="黑体" w:hint="eastAsia"/>
          <w:sz w:val="32"/>
          <w:szCs w:val="32"/>
        </w:rPr>
        <w:lastRenderedPageBreak/>
        <w:t>无法</w:t>
      </w:r>
      <w:r w:rsidR="006F4404">
        <w:rPr>
          <w:rFonts w:ascii="仿宋_GB2312" w:eastAsia="仿宋_GB2312" w:hAnsi="黑体" w:hint="eastAsia"/>
          <w:sz w:val="32"/>
          <w:szCs w:val="32"/>
        </w:rPr>
        <w:t>将户籍</w:t>
      </w:r>
      <w:r>
        <w:rPr>
          <w:rFonts w:ascii="仿宋_GB2312" w:eastAsia="仿宋_GB2312" w:hAnsi="黑体" w:hint="eastAsia"/>
          <w:sz w:val="32"/>
          <w:szCs w:val="32"/>
        </w:rPr>
        <w:t>迁入城镇</w:t>
      </w:r>
      <w:r w:rsidR="00621C94">
        <w:rPr>
          <w:rFonts w:ascii="仿宋_GB2312" w:eastAsia="仿宋_GB2312" w:hAnsi="黑体" w:hint="eastAsia"/>
          <w:sz w:val="32"/>
          <w:szCs w:val="32"/>
        </w:rPr>
        <w:t>，造成人户分离。</w:t>
      </w:r>
    </w:p>
    <w:p w:rsidR="00294E87" w:rsidRDefault="00294E87" w:rsidP="00294E87">
      <w:pPr>
        <w:spacing w:line="560" w:lineRule="exact"/>
        <w:ind w:firstLine="640"/>
        <w:rPr>
          <w:rFonts w:ascii="仿宋_GB2312" w:eastAsia="仿宋_GB2312" w:hAnsi="黑体"/>
          <w:sz w:val="32"/>
          <w:szCs w:val="32"/>
        </w:rPr>
      </w:pPr>
      <w:r>
        <w:rPr>
          <w:rFonts w:ascii="仿宋_GB2312" w:eastAsia="仿宋_GB2312" w:hAnsi="黑体" w:hint="eastAsia"/>
          <w:sz w:val="32"/>
          <w:szCs w:val="32"/>
        </w:rPr>
        <w:t>4、</w:t>
      </w:r>
      <w:r w:rsidR="00621C94">
        <w:rPr>
          <w:rFonts w:ascii="仿宋_GB2312" w:eastAsia="仿宋_GB2312" w:hAnsi="黑体" w:hint="eastAsia"/>
          <w:sz w:val="32"/>
          <w:szCs w:val="32"/>
        </w:rPr>
        <w:t>已婚群众不主动按照实际居住地迁移户口，而</w:t>
      </w:r>
      <w:r>
        <w:rPr>
          <w:rFonts w:ascii="仿宋_GB2312" w:eastAsia="仿宋_GB2312" w:hAnsi="黑体" w:hint="eastAsia"/>
          <w:sz w:val="32"/>
          <w:szCs w:val="32"/>
        </w:rPr>
        <w:t>办理户口登记、变更、迁移等户口管理事项应由本人和户主前往公安派出所申报，如果本人和户主不去常住地派出所申报，派出所不能直接变更公民户籍地址。</w:t>
      </w:r>
    </w:p>
    <w:p w:rsidR="00294E87" w:rsidRDefault="00294E87" w:rsidP="00294E87">
      <w:pPr>
        <w:spacing w:line="560" w:lineRule="exact"/>
        <w:ind w:firstLineChars="200" w:firstLine="643"/>
        <w:rPr>
          <w:rFonts w:ascii="黑体" w:eastAsia="黑体" w:hAnsi="黑体"/>
          <w:b/>
          <w:sz w:val="32"/>
          <w:szCs w:val="32"/>
        </w:rPr>
      </w:pPr>
      <w:r>
        <w:rPr>
          <w:rFonts w:ascii="黑体" w:eastAsia="黑体" w:hAnsi="黑体" w:hint="eastAsia"/>
          <w:b/>
          <w:sz w:val="32"/>
          <w:szCs w:val="32"/>
        </w:rPr>
        <w:t>五、下一步工作方向。</w:t>
      </w:r>
    </w:p>
    <w:p w:rsidR="00294E87" w:rsidRDefault="00294E87" w:rsidP="00294E8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继续推进落实《新疆维吾尔自治区贯彻落实国务院推动1亿非户籍人口在城市落户的实施方案》，每季度对户籍民警、警务室民警重点针对户口登记相关政策、规范、要求定期进行培训，努力提升民警自身业务水平和工作能力。</w:t>
      </w:r>
    </w:p>
    <w:p w:rsidR="00294E87" w:rsidRDefault="00294E87" w:rsidP="00294E8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我局在日常办理户籍业务中，凡群众办理户口手续齐备、符合政策规定的，在规定时限内，一次办结，做到让群众只跑一趟；对手续不全和当场不能办结的，书面一次性向申报人告知该补办的手续和办结时限，全心全意为人民服务好。</w:t>
      </w:r>
    </w:p>
    <w:p w:rsidR="00294E87" w:rsidRDefault="00294E87" w:rsidP="00294E8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3、在日常入户走访过程中，加大对户口政策、户口登记相关</w:t>
      </w:r>
      <w:r w:rsidR="00EE06E2">
        <w:rPr>
          <w:rFonts w:ascii="仿宋_GB2312" w:eastAsia="仿宋_GB2312" w:hAnsi="仿宋" w:hint="eastAsia"/>
          <w:sz w:val="32"/>
          <w:szCs w:val="32"/>
        </w:rPr>
        <w:t>业务</w:t>
      </w:r>
      <w:r>
        <w:rPr>
          <w:rFonts w:ascii="仿宋_GB2312" w:eastAsia="仿宋_GB2312" w:hAnsi="仿宋" w:hint="eastAsia"/>
          <w:sz w:val="32"/>
          <w:szCs w:val="32"/>
        </w:rPr>
        <w:t>知识的宣传讲解，让群众知道、了解相关户口政策要求，积极引导人户分离的群众，做工作及时将户口迁入现经常居住地并登记常住户口，做到人户一致。</w:t>
      </w:r>
    </w:p>
    <w:p w:rsidR="00294E87" w:rsidRDefault="00294E87" w:rsidP="00294E87">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感谢您对我县公安工作的关心和支持，欢迎今后多提宝贵意见</w:t>
      </w:r>
      <w:r w:rsidR="00621C94">
        <w:rPr>
          <w:rFonts w:ascii="仿宋_GB2312" w:eastAsia="仿宋_GB2312" w:hAnsi="仿宋" w:hint="eastAsia"/>
          <w:sz w:val="32"/>
          <w:szCs w:val="32"/>
        </w:rPr>
        <w:t>，</w:t>
      </w:r>
      <w:r>
        <w:rPr>
          <w:rFonts w:ascii="仿宋_GB2312" w:eastAsia="仿宋_GB2312" w:hAnsi="仿宋" w:hint="eastAsia"/>
          <w:sz w:val="32"/>
          <w:szCs w:val="32"/>
        </w:rPr>
        <w:t>特此回复。</w:t>
      </w:r>
    </w:p>
    <w:p w:rsidR="00294E87" w:rsidRDefault="00294E87" w:rsidP="00294E87">
      <w:pPr>
        <w:spacing w:line="560" w:lineRule="exact"/>
        <w:ind w:firstLineChars="200" w:firstLine="640"/>
        <w:rPr>
          <w:rFonts w:ascii="仿宋_GB2312" w:eastAsia="仿宋_GB2312" w:hAnsi="仿宋"/>
          <w:sz w:val="32"/>
          <w:szCs w:val="32"/>
        </w:rPr>
      </w:pPr>
    </w:p>
    <w:p w:rsidR="00294E87" w:rsidRDefault="00294E87" w:rsidP="00294E87">
      <w:pPr>
        <w:wordWrap w:val="0"/>
        <w:spacing w:line="560" w:lineRule="exact"/>
        <w:ind w:firstLineChars="200" w:firstLine="640"/>
        <w:jc w:val="right"/>
        <w:rPr>
          <w:rFonts w:ascii="仿宋_GB2312" w:eastAsia="仿宋_GB2312" w:hAnsi="仿宋"/>
          <w:sz w:val="32"/>
          <w:szCs w:val="32"/>
        </w:rPr>
      </w:pPr>
      <w:r>
        <w:rPr>
          <w:rFonts w:ascii="仿宋_GB2312" w:eastAsia="仿宋_GB2312" w:hAnsi="仿宋" w:hint="eastAsia"/>
          <w:sz w:val="32"/>
          <w:szCs w:val="32"/>
        </w:rPr>
        <w:t xml:space="preserve">托克逊县公安局 </w:t>
      </w:r>
    </w:p>
    <w:p w:rsidR="00294E87" w:rsidRDefault="00294E87" w:rsidP="00294E87">
      <w:pPr>
        <w:spacing w:line="560" w:lineRule="exact"/>
        <w:ind w:firstLineChars="200" w:firstLine="640"/>
        <w:jc w:val="right"/>
        <w:rPr>
          <w:rFonts w:ascii="仿宋_GB2312" w:eastAsia="仿宋_GB2312" w:hAnsi="仿宋"/>
          <w:sz w:val="32"/>
          <w:szCs w:val="32"/>
        </w:rPr>
      </w:pPr>
      <w:r>
        <w:rPr>
          <w:rFonts w:ascii="仿宋_GB2312" w:eastAsia="仿宋_GB2312" w:hAnsi="仿宋" w:hint="eastAsia"/>
          <w:sz w:val="32"/>
          <w:szCs w:val="32"/>
        </w:rPr>
        <w:t>2020年5月29日</w:t>
      </w:r>
    </w:p>
    <w:p w:rsidR="00294E87" w:rsidRDefault="00294E87">
      <w:pPr>
        <w:spacing w:line="560" w:lineRule="exact"/>
        <w:rPr>
          <w:rFonts w:ascii="Times New Roman" w:eastAsia="仿宋_GB2312" w:hAnsi="Times New Roman" w:cs="Times New Roman"/>
          <w:color w:val="000000" w:themeColor="text1"/>
          <w:sz w:val="32"/>
          <w:szCs w:val="32"/>
          <w:shd w:val="clear" w:color="auto" w:fill="FFFFFF"/>
        </w:rPr>
      </w:pPr>
      <w:r>
        <w:rPr>
          <w:rFonts w:ascii="Times New Roman" w:eastAsia="方正小标宋简体" w:hAnsi="Times New Roman" w:cs="Times New Roman"/>
          <w:noProof/>
          <w:color w:val="FF0000"/>
          <w:spacing w:val="20"/>
          <w:w w:val="120"/>
        </w:rPr>
        <mc:AlternateContent>
          <mc:Choice Requires="wps">
            <w:drawing>
              <wp:anchor distT="0" distB="0" distL="114300" distR="114300" simplePos="0" relativeHeight="251660288" behindDoc="0" locked="0" layoutInCell="1" allowOverlap="1" wp14:anchorId="3451E447" wp14:editId="44AF3A67">
                <wp:simplePos x="0" y="0"/>
                <wp:positionH relativeFrom="column">
                  <wp:posOffset>-193675</wp:posOffset>
                </wp:positionH>
                <wp:positionV relativeFrom="page">
                  <wp:posOffset>9609455</wp:posOffset>
                </wp:positionV>
                <wp:extent cx="6153785" cy="0"/>
                <wp:effectExtent l="0" t="28575" r="18415" b="28575"/>
                <wp:wrapNone/>
                <wp:docPr id="2" name="直线 2"/>
                <wp:cNvGraphicFramePr/>
                <a:graphic xmlns:a="http://schemas.openxmlformats.org/drawingml/2006/main">
                  <a:graphicData uri="http://schemas.microsoft.com/office/word/2010/wordprocessingShape">
                    <wps:wsp>
                      <wps:cNvCnPr/>
                      <wps:spPr>
                        <a:xfrm>
                          <a:off x="0" y="0"/>
                          <a:ext cx="6153785" cy="0"/>
                        </a:xfrm>
                        <a:prstGeom prst="line">
                          <a:avLst/>
                        </a:prstGeom>
                        <a:ln w="57150" cap="flat" cmpd="thickThin">
                          <a:solidFill>
                            <a:srgbClr val="FF0000"/>
                          </a:solidFill>
                          <a:prstDash val="solid"/>
                          <a:headEnd type="none" w="med" len="med"/>
                          <a:tailEnd type="none" w="med" len="med"/>
                        </a:ln>
                        <a:effectLst/>
                      </wps:spPr>
                      <wps:bodyPr/>
                    </wps:wsp>
                  </a:graphicData>
                </a:graphic>
              </wp:anchor>
            </w:drawing>
          </mc:Choice>
          <mc:Fallback>
            <w:pict>
              <v:line id="直线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page" from="-15.25pt,756.65pt" to="469.3pt,7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" strokecolor="red" strokeweight="4.5pt">
                <v:stroke linestyle="thickThin"/>
                <w10:wrap anchory="page"/>
              </v:line>
            </w:pict>
          </mc:Fallback>
        </mc:AlternateContent>
      </w:r>
    </w:p>
    <w:sectPr w:rsidR="00294E87">
      <w:footerReference w:type="default" r:id="rId8"/>
      <w:pgSz w:w="11906" w:h="16838"/>
      <w:pgMar w:top="1134" w:right="1587" w:bottom="1984"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B74" w:rsidRDefault="008A5B74" w:rsidP="00C7671F">
      <w:r>
        <w:separator/>
      </w:r>
    </w:p>
  </w:endnote>
  <w:endnote w:type="continuationSeparator" w:id="0">
    <w:p w:rsidR="008A5B74" w:rsidRDefault="008A5B74" w:rsidP="00C7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676997"/>
      <w:docPartObj>
        <w:docPartGallery w:val="Page Numbers (Bottom of Page)"/>
        <w:docPartUnique/>
      </w:docPartObj>
    </w:sdtPr>
    <w:sdtEndPr/>
    <w:sdtContent>
      <w:p w:rsidR="00C7671F" w:rsidRDefault="00C7671F">
        <w:pPr>
          <w:pStyle w:val="a4"/>
          <w:jc w:val="center"/>
        </w:pPr>
        <w:r>
          <w:fldChar w:fldCharType="begin"/>
        </w:r>
        <w:r>
          <w:instrText>PAGE   \* MERGEFORMAT</w:instrText>
        </w:r>
        <w:r>
          <w:fldChar w:fldCharType="separate"/>
        </w:r>
        <w:r w:rsidR="00B958BD" w:rsidRPr="00B958BD">
          <w:rPr>
            <w:noProof/>
            <w:lang w:val="zh-CN"/>
          </w:rPr>
          <w:t>5</w:t>
        </w:r>
        <w:r>
          <w:fldChar w:fldCharType="end"/>
        </w:r>
      </w:p>
    </w:sdtContent>
  </w:sdt>
  <w:p w:rsidR="00C7671F" w:rsidRDefault="00C767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B74" w:rsidRDefault="008A5B74" w:rsidP="00C7671F">
      <w:r>
        <w:separator/>
      </w:r>
    </w:p>
  </w:footnote>
  <w:footnote w:type="continuationSeparator" w:id="0">
    <w:p w:rsidR="008A5B74" w:rsidRDefault="008A5B74" w:rsidP="00C767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00"/>
    <w:rsid w:val="00095D8B"/>
    <w:rsid w:val="000B06DA"/>
    <w:rsid w:val="000E3C99"/>
    <w:rsid w:val="00123EF7"/>
    <w:rsid w:val="00144149"/>
    <w:rsid w:val="00167528"/>
    <w:rsid w:val="001C217C"/>
    <w:rsid w:val="001F3C6D"/>
    <w:rsid w:val="00246B1E"/>
    <w:rsid w:val="00260132"/>
    <w:rsid w:val="00294E87"/>
    <w:rsid w:val="002B1200"/>
    <w:rsid w:val="002E2B93"/>
    <w:rsid w:val="00304A8A"/>
    <w:rsid w:val="00334EFD"/>
    <w:rsid w:val="00342C87"/>
    <w:rsid w:val="00396D8C"/>
    <w:rsid w:val="00411354"/>
    <w:rsid w:val="00416E2F"/>
    <w:rsid w:val="00475F40"/>
    <w:rsid w:val="004A22BA"/>
    <w:rsid w:val="004A2DD3"/>
    <w:rsid w:val="005357C9"/>
    <w:rsid w:val="00544F76"/>
    <w:rsid w:val="00545937"/>
    <w:rsid w:val="005D25BB"/>
    <w:rsid w:val="005D6D06"/>
    <w:rsid w:val="00621C94"/>
    <w:rsid w:val="00695938"/>
    <w:rsid w:val="00695FAE"/>
    <w:rsid w:val="006D65D3"/>
    <w:rsid w:val="006F4404"/>
    <w:rsid w:val="00775BF8"/>
    <w:rsid w:val="00785C38"/>
    <w:rsid w:val="008112F8"/>
    <w:rsid w:val="00863384"/>
    <w:rsid w:val="00874815"/>
    <w:rsid w:val="00893159"/>
    <w:rsid w:val="00893540"/>
    <w:rsid w:val="008A5B74"/>
    <w:rsid w:val="009044DB"/>
    <w:rsid w:val="0096237C"/>
    <w:rsid w:val="0097597C"/>
    <w:rsid w:val="00A05258"/>
    <w:rsid w:val="00A10F21"/>
    <w:rsid w:val="00A12654"/>
    <w:rsid w:val="00A76956"/>
    <w:rsid w:val="00A93789"/>
    <w:rsid w:val="00AD0862"/>
    <w:rsid w:val="00AE722E"/>
    <w:rsid w:val="00B958BD"/>
    <w:rsid w:val="00BA2922"/>
    <w:rsid w:val="00BB122C"/>
    <w:rsid w:val="00C24A91"/>
    <w:rsid w:val="00C7671F"/>
    <w:rsid w:val="00C95A4D"/>
    <w:rsid w:val="00C963E1"/>
    <w:rsid w:val="00CC0C55"/>
    <w:rsid w:val="00CF2329"/>
    <w:rsid w:val="00CF2A56"/>
    <w:rsid w:val="00D32285"/>
    <w:rsid w:val="00D45A96"/>
    <w:rsid w:val="00D462D5"/>
    <w:rsid w:val="00DC1C3D"/>
    <w:rsid w:val="00DD5459"/>
    <w:rsid w:val="00E139E2"/>
    <w:rsid w:val="00E21088"/>
    <w:rsid w:val="00EC4C95"/>
    <w:rsid w:val="00EE06E2"/>
    <w:rsid w:val="00EF3E22"/>
    <w:rsid w:val="00F3149C"/>
    <w:rsid w:val="00F519B5"/>
    <w:rsid w:val="00F63280"/>
    <w:rsid w:val="096F7595"/>
    <w:rsid w:val="0AA6532C"/>
    <w:rsid w:val="15582731"/>
    <w:rsid w:val="240E1AD9"/>
    <w:rsid w:val="35A46609"/>
    <w:rsid w:val="366110FF"/>
    <w:rsid w:val="3CF82759"/>
    <w:rsid w:val="3F09734D"/>
    <w:rsid w:val="3F1E3756"/>
    <w:rsid w:val="66004F1F"/>
    <w:rsid w:val="68FB66DA"/>
    <w:rsid w:val="6CF45366"/>
    <w:rsid w:val="70437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767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671F"/>
    <w:rPr>
      <w:rFonts w:asciiTheme="minorHAnsi" w:eastAsiaTheme="minorEastAsia" w:hAnsiTheme="minorHAnsi" w:cstheme="minorBidi"/>
      <w:kern w:val="2"/>
      <w:sz w:val="18"/>
      <w:szCs w:val="18"/>
    </w:rPr>
  </w:style>
  <w:style w:type="paragraph" w:styleId="a4">
    <w:name w:val="footer"/>
    <w:basedOn w:val="a"/>
    <w:link w:val="Char0"/>
    <w:uiPriority w:val="99"/>
    <w:rsid w:val="00C7671F"/>
    <w:pPr>
      <w:tabs>
        <w:tab w:val="center" w:pos="4153"/>
        <w:tab w:val="right" w:pos="8306"/>
      </w:tabs>
      <w:snapToGrid w:val="0"/>
      <w:jc w:val="left"/>
    </w:pPr>
    <w:rPr>
      <w:sz w:val="18"/>
      <w:szCs w:val="18"/>
    </w:rPr>
  </w:style>
  <w:style w:type="character" w:customStyle="1" w:styleId="Char0">
    <w:name w:val="页脚 Char"/>
    <w:basedOn w:val="a0"/>
    <w:link w:val="a4"/>
    <w:uiPriority w:val="99"/>
    <w:rsid w:val="00C7671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767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671F"/>
    <w:rPr>
      <w:rFonts w:asciiTheme="minorHAnsi" w:eastAsiaTheme="minorEastAsia" w:hAnsiTheme="minorHAnsi" w:cstheme="minorBidi"/>
      <w:kern w:val="2"/>
      <w:sz w:val="18"/>
      <w:szCs w:val="18"/>
    </w:rPr>
  </w:style>
  <w:style w:type="paragraph" w:styleId="a4">
    <w:name w:val="footer"/>
    <w:basedOn w:val="a"/>
    <w:link w:val="Char0"/>
    <w:uiPriority w:val="99"/>
    <w:rsid w:val="00C7671F"/>
    <w:pPr>
      <w:tabs>
        <w:tab w:val="center" w:pos="4153"/>
        <w:tab w:val="right" w:pos="8306"/>
      </w:tabs>
      <w:snapToGrid w:val="0"/>
      <w:jc w:val="left"/>
    </w:pPr>
    <w:rPr>
      <w:sz w:val="18"/>
      <w:szCs w:val="18"/>
    </w:rPr>
  </w:style>
  <w:style w:type="character" w:customStyle="1" w:styleId="Char0">
    <w:name w:val="页脚 Char"/>
    <w:basedOn w:val="a0"/>
    <w:link w:val="a4"/>
    <w:uiPriority w:val="99"/>
    <w:rsid w:val="00C7671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227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2446</Words>
  <Characters>205</Characters>
  <Application>Microsoft Office Word</Application>
  <DocSecurity>0</DocSecurity>
  <Lines>1</Lines>
  <Paragraphs>5</Paragraphs>
  <ScaleCrop>false</ScaleCrop>
  <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zhzx</dc:creator>
  <cp:lastModifiedBy>xb21cn</cp:lastModifiedBy>
  <cp:revision>55</cp:revision>
  <cp:lastPrinted>2020-02-17T08:33:00Z</cp:lastPrinted>
  <dcterms:created xsi:type="dcterms:W3CDTF">2020-05-29T10:12:00Z</dcterms:created>
  <dcterms:modified xsi:type="dcterms:W3CDTF">2020-05-29T12:30:00Z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