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关于对托克逊县第十七届人民代表大会五次会议第</w:t>
      </w:r>
      <w:r>
        <w:rPr>
          <w:rFonts w:hint="cs" w:ascii="方正小标宋简体" w:hAnsi="方正小标宋简体" w:eastAsia="方正小标宋简体" w:cs="Times New Roman"/>
          <w:sz w:val="44"/>
          <w:szCs w:val="44"/>
          <w:rtl/>
          <w:lang w:val="en-US" w:eastAsia="zh-CN" w:bidi="ar-SA"/>
        </w:rPr>
        <w:t>70</w:t>
      </w:r>
      <w:r>
        <w:rPr>
          <w:rFonts w:hint="eastAsia" w:ascii="方正小标宋简体" w:hAnsi="方正小标宋简体" w:eastAsia="方正小标宋简体" w:cs="方正小标宋简体"/>
          <w:sz w:val="44"/>
          <w:szCs w:val="44"/>
          <w:lang w:val="en-US" w:eastAsia="zh-CN"/>
        </w:rPr>
        <w:t>号议案的答复</w:t>
      </w:r>
    </w:p>
    <w:p/>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议案题目：</w:t>
      </w:r>
      <w:r>
        <w:rPr>
          <w:rFonts w:hint="eastAsia" w:ascii="仿宋_GB2312" w:hAnsi="仿宋_GB2312" w:eastAsia="仿宋_GB2312" w:cs="仿宋_GB2312"/>
          <w:sz w:val="32"/>
          <w:szCs w:val="32"/>
          <w:lang w:val="en-US" w:eastAsia="zh-CN"/>
        </w:rPr>
        <w:t>关于房屋征收问题</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议案内容：</w:t>
      </w:r>
      <w:r>
        <w:rPr>
          <w:rFonts w:hint="eastAsia" w:ascii="仿宋_GB2312" w:hAnsi="仿宋_GB2312" w:eastAsia="仿宋_GB2312" w:cs="仿宋_GB2312"/>
          <w:sz w:val="32"/>
          <w:szCs w:val="32"/>
          <w:lang w:val="en-US" w:eastAsia="zh-CN"/>
        </w:rPr>
        <w:t>夏乡托台村已进入拆迁范围，长期以来很多居民的房屋因老化陈旧，因无法进房居住租房搬进了别人的房子，很多家庭水管因老化而破裂，给居民带来饮水方面的不便，因此特申请开展把本村的居民搬进安全的住房。</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议案答复：</w:t>
      </w:r>
      <w:r>
        <w:rPr>
          <w:rFonts w:hint="eastAsia" w:ascii="仿宋_GB2312" w:hAnsi="仿宋_GB2312" w:eastAsia="仿宋_GB2312" w:cs="仿宋_GB2312"/>
          <w:sz w:val="32"/>
          <w:szCs w:val="32"/>
          <w:lang w:val="en-US" w:eastAsia="zh-CN"/>
        </w:rPr>
        <w:t>根据托克逊县人大代表艾孜孜古丽·提依甫提出的议案，县自然资源局对夏乡托台村征收片区拆迁居民进行了调查核实，对19户拆迁居民的用水困难和房屋安全问题进行了解。通过征收办了解，该夏乡托台村征收片区19户已完成依法征收，签订征收补偿协议中约定了被拆迁户的临时过渡安置补偿费用，用于解决被征收人租住于本村不符合房屋安全和水暖基础设施条件不完善的房屋不符合政府征收依法补偿的要求。目前，该夏乡棚户区改造项目已进入安置阶段，托台村19户被征收户已逐步推退出存在安全隐患的租住房屋，该议案所提问题已经解决。</w:t>
      </w:r>
    </w:p>
    <w:p>
      <w:pPr>
        <w:ind w:firstLine="4640" w:firstLineChars="145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托克逊县自然资源局</w:t>
      </w:r>
    </w:p>
    <w:p>
      <w:pPr>
        <w:ind w:firstLine="4960" w:firstLineChars="155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2020年6月5日</w:t>
      </w:r>
    </w:p>
    <w:p>
      <w:pPr>
        <w:ind w:firstLine="1120" w:firstLineChars="350"/>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关于对托克逊县第十七届人民代表大会五次会议第</w:t>
      </w:r>
      <w:r>
        <w:rPr>
          <w:rFonts w:hint="cs" w:ascii="方正小标宋简体" w:hAnsi="方正小标宋简体" w:eastAsia="方正小标宋简体" w:cs="Times New Roman"/>
          <w:sz w:val="44"/>
          <w:szCs w:val="44"/>
          <w:rtl/>
          <w:lang w:val="en-US" w:eastAsia="zh-CN" w:bidi="ar-SA"/>
        </w:rPr>
        <w:t>5</w:t>
      </w:r>
      <w:r>
        <w:rPr>
          <w:rFonts w:hint="eastAsia" w:ascii="方正小标宋简体" w:hAnsi="方正小标宋简体" w:eastAsia="方正小标宋简体" w:cs="方正小标宋简体"/>
          <w:sz w:val="44"/>
          <w:szCs w:val="44"/>
          <w:lang w:val="en-US" w:eastAsia="zh-CN"/>
        </w:rPr>
        <w:t>号议案的答复</w:t>
      </w:r>
    </w:p>
    <w:p>
      <w:pPr>
        <w:rPr>
          <w:rFonts w:hint="eastAsia" w:ascii="仿宋_GB2312" w:hAnsi="仿宋_GB2312" w:eastAsia="仿宋_GB2312" w:cs="Times New Roman"/>
          <w:sz w:val="32"/>
          <w:szCs w:val="32"/>
          <w:lang w:val="en-US" w:eastAsia="zh-CN" w:bidi="ar-SA"/>
        </w:rPr>
      </w:pPr>
    </w:p>
    <w:p>
      <w:pPr>
        <w:rPr>
          <w:rFonts w:hint="eastAsia" w:ascii="仿宋_GB2312" w:hAnsi="仿宋_GB2312" w:eastAsia="仿宋_GB2312" w:cs="Times New Roman"/>
          <w:sz w:val="32"/>
          <w:szCs w:val="32"/>
          <w:lang w:val="en-US" w:eastAsia="zh-CN" w:bidi="ar-SA"/>
        </w:rPr>
      </w:pPr>
      <w:r>
        <w:rPr>
          <w:rFonts w:hint="eastAsia" w:ascii="仿宋_GB2312" w:hAnsi="仿宋_GB2312" w:eastAsia="仿宋_GB2312" w:cs="Times New Roman"/>
          <w:sz w:val="32"/>
          <w:szCs w:val="32"/>
          <w:lang w:val="en-US" w:eastAsia="zh-CN" w:bidi="ar-SA"/>
        </w:rPr>
        <w:t>尊敬的帕提古丽·克热木代表：</w:t>
      </w:r>
    </w:p>
    <w:p>
      <w:pPr>
        <w:ind w:firstLine="640"/>
        <w:rPr>
          <w:rFonts w:hint="eastAsia" w:ascii="仿宋_GB2312" w:hAnsi="仿宋_GB2312" w:eastAsia="仿宋_GB2312" w:cs="Times New Roman"/>
          <w:sz w:val="32"/>
          <w:szCs w:val="32"/>
          <w:lang w:val="en-US" w:eastAsia="zh-CN" w:bidi="ar-SA"/>
        </w:rPr>
      </w:pPr>
      <w:r>
        <w:rPr>
          <w:rFonts w:hint="eastAsia" w:ascii="仿宋_GB2312" w:hAnsi="仿宋_GB2312" w:eastAsia="仿宋_GB2312" w:cs="Times New Roman"/>
          <w:sz w:val="32"/>
          <w:szCs w:val="32"/>
          <w:lang w:val="en-US" w:eastAsia="zh-CN" w:bidi="ar-SA"/>
        </w:rPr>
        <w:t>托克逊县第十七届人民代表大会五次会议中您提出的关于县城内建设儿童公共娱乐场所的问题，我局已熟悉，根据我局工作职责结合，现答复如下：</w:t>
      </w:r>
    </w:p>
    <w:p>
      <w:pPr>
        <w:numPr>
          <w:ilvl w:val="0"/>
          <w:numId w:val="1"/>
        </w:numPr>
        <w:ind w:firstLine="640"/>
        <w:rPr>
          <w:rFonts w:hint="eastAsia" w:ascii="仿宋_GB2312" w:hAnsi="仿宋_GB2312" w:eastAsia="仿宋_GB2312" w:cs="Times New Roman"/>
          <w:sz w:val="32"/>
          <w:szCs w:val="32"/>
          <w:lang w:val="en-US" w:eastAsia="zh-CN" w:bidi="ar-SA"/>
        </w:rPr>
      </w:pPr>
      <w:r>
        <w:rPr>
          <w:rFonts w:hint="eastAsia" w:ascii="仿宋_GB2312" w:hAnsi="仿宋_GB2312" w:eastAsia="仿宋_GB2312" w:cs="仿宋_GB2312"/>
          <w:b/>
          <w:bCs/>
          <w:sz w:val="32"/>
          <w:szCs w:val="32"/>
          <w:lang w:val="en-US" w:eastAsia="zh-CN"/>
        </w:rPr>
        <w:t>议案题目：</w:t>
      </w:r>
      <w:r>
        <w:rPr>
          <w:rFonts w:hint="eastAsia" w:ascii="仿宋_GB2312" w:hAnsi="仿宋_GB2312" w:eastAsia="仿宋_GB2312" w:cs="Times New Roman"/>
          <w:sz w:val="32"/>
          <w:szCs w:val="32"/>
          <w:lang w:val="en-US" w:eastAsia="zh-CN" w:bidi="ar-SA"/>
        </w:rPr>
        <w:t>县城内建设设备周全儿童公共娱乐场所问题</w:t>
      </w:r>
    </w:p>
    <w:p>
      <w:pPr>
        <w:numPr>
          <w:ilvl w:val="0"/>
          <w:numId w:val="1"/>
        </w:numPr>
        <w:ind w:firstLine="640"/>
        <w:rPr>
          <w:rFonts w:hint="eastAsia" w:ascii="仿宋_GB2312" w:hAnsi="仿宋_GB2312" w:eastAsia="仿宋_GB2312" w:cs="Times New Roman"/>
          <w:sz w:val="32"/>
          <w:szCs w:val="32"/>
          <w:lang w:val="en-US" w:eastAsia="zh-CN" w:bidi="ar-SA"/>
        </w:rPr>
      </w:pPr>
      <w:r>
        <w:rPr>
          <w:rFonts w:hint="eastAsia" w:ascii="仿宋_GB2312" w:hAnsi="仿宋_GB2312" w:eastAsia="仿宋_GB2312" w:cs="仿宋_GB2312"/>
          <w:b/>
          <w:bCs/>
          <w:sz w:val="32"/>
          <w:szCs w:val="32"/>
          <w:lang w:val="en-US" w:eastAsia="zh-CN"/>
        </w:rPr>
        <w:t>议案内容：</w:t>
      </w:r>
      <w:r>
        <w:rPr>
          <w:rFonts w:hint="eastAsia" w:ascii="仿宋_GB2312" w:hAnsi="仿宋_GB2312" w:eastAsia="仿宋_GB2312" w:cs="Times New Roman"/>
          <w:sz w:val="32"/>
          <w:szCs w:val="32"/>
          <w:lang w:val="en-US" w:eastAsia="zh-CN" w:bidi="ar-SA"/>
        </w:rPr>
        <w:t>随着我县快速发展，县内各村（社区）成年人娱乐方面需求也跟着提高了，已建设了好多娱乐场所，但是只符合成年人娱乐，不符合儿童娱乐。所以希望县城内建设符合儿童益智能力及有利于儿童健康成长的设备周全儿童公共娱乐场所。</w:t>
      </w:r>
    </w:p>
    <w:p>
      <w:pPr>
        <w:numPr>
          <w:ilvl w:val="0"/>
          <w:numId w:val="1"/>
        </w:numPr>
        <w:ind w:firstLine="640"/>
        <w:rPr>
          <w:rFonts w:hint="eastAsia" w:ascii="仿宋_GB2312" w:hAnsi="仿宋_GB2312" w:eastAsia="仿宋_GB2312" w:cs="Times New Roman"/>
          <w:sz w:val="32"/>
          <w:szCs w:val="32"/>
          <w:lang w:val="en-US" w:eastAsia="zh-CN" w:bidi="ar-SA"/>
        </w:rPr>
      </w:pPr>
      <w:r>
        <w:rPr>
          <w:rFonts w:hint="eastAsia" w:ascii="仿宋_GB2312" w:hAnsi="仿宋_GB2312" w:eastAsia="仿宋_GB2312" w:cs="仿宋_GB2312"/>
          <w:b/>
          <w:bCs/>
          <w:sz w:val="32"/>
          <w:szCs w:val="32"/>
          <w:lang w:val="en-US" w:eastAsia="zh-CN"/>
        </w:rPr>
        <w:t>议案答复：</w:t>
      </w:r>
    </w:p>
    <w:p>
      <w:pPr>
        <w:numPr>
          <w:numId w:val="0"/>
        </w:numPr>
        <w:ind w:firstLine="642"/>
        <w:rPr>
          <w:rFonts w:hint="eastAsia" w:ascii="仿宋_GB2312" w:hAnsi="仿宋_GB2312" w:eastAsia="仿宋_GB2312" w:cs="Times New Roman"/>
          <w:sz w:val="32"/>
          <w:szCs w:val="32"/>
          <w:lang w:val="en-US" w:eastAsia="zh-CN" w:bidi="ar-SA"/>
        </w:rPr>
      </w:pPr>
      <w:r>
        <w:rPr>
          <w:rFonts w:hint="eastAsia" w:ascii="仿宋_GB2312" w:hAnsi="仿宋_GB2312" w:eastAsia="仿宋_GB2312" w:cs="Times New Roman"/>
          <w:sz w:val="32"/>
          <w:szCs w:val="32"/>
          <w:lang w:val="en-US" w:eastAsia="zh-CN" w:bidi="ar-SA"/>
        </w:rPr>
        <w:t>1、我局将按照土地利用总体规划和城乡规划，尽量按法律规定的工作职责，从合理规划地角度，适当多规划符合儿童娱乐场所的用地数量和面积，打造小精品，让人民群众在离家不远的地方休闲，娱乐、提高人民群众的幸福感和获得感。</w:t>
      </w:r>
    </w:p>
    <w:p>
      <w:pPr>
        <w:numPr>
          <w:numId w:val="0"/>
        </w:numPr>
        <w:ind w:firstLine="642"/>
        <w:rPr>
          <w:rFonts w:hint="eastAsia" w:ascii="仿宋_GB2312" w:hAnsi="仿宋_GB2312" w:eastAsia="仿宋_GB2312" w:cs="Times New Roman"/>
          <w:sz w:val="32"/>
          <w:szCs w:val="32"/>
          <w:lang w:val="en-US" w:eastAsia="zh-CN" w:bidi="ar-SA"/>
        </w:rPr>
      </w:pPr>
      <w:r>
        <w:rPr>
          <w:rFonts w:hint="eastAsia" w:ascii="仿宋_GB2312" w:hAnsi="仿宋_GB2312" w:eastAsia="仿宋_GB2312" w:cs="Times New Roman"/>
          <w:sz w:val="32"/>
          <w:szCs w:val="32"/>
          <w:lang w:val="en-US" w:eastAsia="zh-CN" w:bidi="ar-SA"/>
        </w:rPr>
        <w:t>2、充分利用县城各单位临街的绿地，向公共开放，建设一部分适合儿童公共娱乐，同时提高儿童益智能力及有利于儿童健康成长的娱乐设施。</w:t>
      </w:r>
    </w:p>
    <w:p>
      <w:pPr>
        <w:numPr>
          <w:numId w:val="0"/>
        </w:numPr>
        <w:ind w:firstLine="642"/>
        <w:rPr>
          <w:rFonts w:hint="eastAsia" w:ascii="仿宋_GB2312" w:hAnsi="仿宋_GB2312" w:eastAsia="仿宋_GB2312" w:cs="Times New Roman"/>
          <w:sz w:val="32"/>
          <w:szCs w:val="32"/>
          <w:lang w:val="en-US" w:eastAsia="zh-CN" w:bidi="ar-SA"/>
        </w:rPr>
      </w:pPr>
    </w:p>
    <w:p>
      <w:pPr>
        <w:numPr>
          <w:numId w:val="0"/>
        </w:numPr>
        <w:ind w:firstLine="642"/>
        <w:rPr>
          <w:rFonts w:hint="eastAsia" w:ascii="仿宋_GB2312" w:hAnsi="仿宋_GB2312" w:eastAsia="仿宋_GB2312" w:cs="Times New Roman"/>
          <w:sz w:val="32"/>
          <w:szCs w:val="32"/>
          <w:lang w:val="en-US" w:eastAsia="zh-CN" w:bidi="ar-SA"/>
        </w:rPr>
      </w:pPr>
    </w:p>
    <w:p>
      <w:pPr>
        <w:ind w:firstLine="4640" w:firstLineChars="145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托克逊县自然资源局</w:t>
      </w:r>
    </w:p>
    <w:p>
      <w:pPr>
        <w:ind w:firstLine="4960" w:firstLineChars="155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2020年10月26</w:t>
      </w:r>
      <w:bookmarkStart w:id="0" w:name="_GoBack"/>
      <w:bookmarkEnd w:id="0"/>
      <w:r>
        <w:rPr>
          <w:rFonts w:hint="eastAsia" w:ascii="仿宋_GB2312" w:hAnsi="仿宋_GB2312" w:eastAsia="仿宋_GB2312" w:cs="仿宋_GB2312"/>
          <w:sz w:val="32"/>
          <w:szCs w:val="32"/>
          <w:lang w:val="en-US" w:eastAsia="zh-CN"/>
        </w:rPr>
        <w:t>日</w:t>
      </w:r>
    </w:p>
    <w:p>
      <w:pPr>
        <w:numPr>
          <w:numId w:val="0"/>
        </w:numPr>
        <w:ind w:firstLine="642"/>
        <w:rPr>
          <w:rFonts w:hint="eastAsia" w:ascii="仿宋_GB2312" w:hAnsi="仿宋_GB2312" w:eastAsia="仿宋_GB2312" w:cs="Times New Roman"/>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LKATIP Basma Tom">
    <w:panose1 w:val="02000000000000000000"/>
    <w:charset w:val="00"/>
    <w:family w:val="auto"/>
    <w:pitch w:val="default"/>
    <w:sig w:usb0="80006003" w:usb1="A0010458" w:usb2="00000008" w:usb3="00000000" w:csb0="00000041" w:csb1="00000000"/>
  </w:font>
  <w:font w:name="Tunga">
    <w:panose1 w:val="020B0502040204020203"/>
    <w:charset w:val="00"/>
    <w:family w:val="auto"/>
    <w:pitch w:val="default"/>
    <w:sig w:usb0="00400003" w:usb1="00000000" w:usb2="00000000" w:usb3="00000000" w:csb0="00000001"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9F7132"/>
    <w:multiLevelType w:val="singleLevel"/>
    <w:tmpl w:val="5F9F7132"/>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713DC"/>
    <w:rsid w:val="0E6B1F19"/>
    <w:rsid w:val="25FF7DE3"/>
    <w:rsid w:val="4E130681"/>
    <w:rsid w:val="55B22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2020-11-02T02:55:24Z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