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一、噻虫胺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二、毒死蜱</w:t>
      </w:r>
    </w:p>
    <w:p>
      <w:pPr>
        <w:pStyle w:val="2"/>
        <w:spacing w:after="0" w:line="56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毒死蜱又名氯吡硫磷，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姜中的最大残留限量值为0.02mg/kg。毒死蜱超标的原因，可能是菜农为快速控制虫害加大用药量，或未遵守采摘间隔期规定，致使上市销售时产品中的药物残留量未降解至标准限量以下。</w:t>
      </w: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5YzNkZDczZmQ5N2I5MDI1N2FjYWUzYTgzOGViMDc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4C601E1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69</Words>
  <Characters>398</Characters>
  <Lines>3</Lines>
  <Paragraphs>1</Paragraphs>
  <TotalTime>166</TotalTime>
  <ScaleCrop>false</ScaleCrop>
  <LinksUpToDate>false</LinksUpToDate>
  <CharactersWithSpaces>466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2024-04-26T10:31:04Z</cp:lastPrinted>
  <dcterms:modified xsi:type="dcterms:W3CDTF">2024-04-26T10:31:18Z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F46EFFB5EC0D4DB5A641BE2063BCF22F</vt:lpwstr>
  </property>
</Properties>
</file>