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</w:rPr>
        <w:t>133.9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</w:rPr>
        <w:t>133.9</w:t>
      </w:r>
      <w:r>
        <w:rPr>
          <w:rFonts w:hint="eastAsia"/>
          <w:sz w:val="32"/>
          <w:szCs w:val="32"/>
        </w:rPr>
        <w:t>万元。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关于提前下达2022年中央财政</w:t>
      </w:r>
      <w:bookmarkStart w:id="0" w:name="_GoBack"/>
      <w:bookmarkEnd w:id="0"/>
      <w:r>
        <w:rPr>
          <w:rFonts w:hint="eastAsia"/>
          <w:sz w:val="32"/>
          <w:szCs w:val="32"/>
        </w:rPr>
        <w:t>优抚对象补助经费项目，吐市财社[202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]105号133.9万元（托克逊县退役军人事务局）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878"/>
        <w:gridCol w:w="1547"/>
        <w:gridCol w:w="154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6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6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7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0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86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关于提前下达2022年中央财政优抚对象补助经费预算的通知</w:t>
            </w:r>
          </w:p>
        </w:tc>
        <w:tc>
          <w:tcPr>
            <w:tcW w:w="1547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托克逊县退役军人事务局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133.9万元</w:t>
            </w:r>
          </w:p>
        </w:tc>
        <w:tc>
          <w:tcPr>
            <w:tcW w:w="1602" w:type="dxa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4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133.9万元</w:t>
            </w:r>
          </w:p>
        </w:tc>
        <w:tc>
          <w:tcPr>
            <w:tcW w:w="16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3216E"/>
    <w:rsid w:val="001548E7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7F1A0E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AB35C5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64547CF"/>
    <w:rsid w:val="58175F79"/>
    <w:rsid w:val="5A4C5530"/>
    <w:rsid w:val="5A500195"/>
    <w:rsid w:val="5B1119B4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2022-02-10T11:27:36Z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9E4833B62E214C288BF815528EC1D973</vt:lpwstr>
  </property>
</Properties>
</file>