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年自治区直达资金安排使用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</w:rPr>
        <w:t>1151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</w:rPr>
        <w:t>1151</w:t>
      </w:r>
      <w:r>
        <w:rPr>
          <w:rFonts w:hint="eastAsia"/>
          <w:sz w:val="32"/>
          <w:szCs w:val="32"/>
        </w:rPr>
        <w:t>万元。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关于提前下达2022年自治</w:t>
      </w:r>
      <w:bookmarkStart w:id="0" w:name="_GoBack"/>
      <w:bookmarkEnd w:id="0"/>
      <w:r>
        <w:rPr>
          <w:rFonts w:hint="eastAsia"/>
          <w:sz w:val="32"/>
          <w:szCs w:val="32"/>
        </w:rPr>
        <w:t>区财政机关事业单位基本养老保险补助项目，吐市财社[202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]141号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1151万元（托克逊县</w:t>
      </w:r>
      <w:r>
        <w:rPr>
          <w:rFonts w:hint="eastAsia"/>
          <w:sz w:val="32"/>
          <w:szCs w:val="32"/>
          <w:lang w:eastAsia="zh-CN"/>
        </w:rPr>
        <w:t>社会保障管理中心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322"/>
        <w:gridCol w:w="1350"/>
        <w:gridCol w:w="154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44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2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322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350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42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04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22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3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关于提前下达2022年自治区财政机关事业单位基本养老保险补助资金的通知</w:t>
            </w:r>
          </w:p>
        </w:tc>
        <w:tc>
          <w:tcPr>
            <w:tcW w:w="1350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eastAsia="zh-CN"/>
              </w:rPr>
              <w:t>社会保障管理中心</w:t>
            </w: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1151万元</w:t>
            </w:r>
          </w:p>
        </w:tc>
        <w:tc>
          <w:tcPr>
            <w:tcW w:w="1604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社会保障管理中心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62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3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1151万元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3216E"/>
    <w:rsid w:val="001548E7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7F1A0E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AB35C5"/>
    <w:rsid w:val="13CF69E7"/>
    <w:rsid w:val="14627AB6"/>
    <w:rsid w:val="15CE70A5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1890A20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5B1119B4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2022-02-10T10:43:32Z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9E4833B62E214C288BF815528EC1D973</vt:lpwstr>
  </property>
</Properties>
</file>