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lang w:val="en-US" w:eastAsia="zh-CN"/>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r>
        <w:rPr>
          <w:rFonts w:hint="eastAsia" w:ascii="方正小标宋简体" w:hAnsi="宋体" w:eastAsia="方正小标宋简体"/>
          <w:color w:val="FF3300"/>
          <w:sz w:val="96"/>
          <w:szCs w:val="32"/>
        </w:rPr>
        <w:t>托克逊县财政局文件</w:t>
      </w: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托财社〔202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rPr>
        <w:t>号</w:t>
      </w:r>
    </w:p>
    <w:p>
      <w:pPr>
        <w:spacing w:line="600" w:lineRule="exact"/>
        <w:jc w:val="center"/>
        <w:rPr>
          <w:rFonts w:hint="eastAsia" w:ascii="仿宋_GB2312" w:hAnsi="仿宋_GB2312" w:eastAsia="仿宋_GB2312" w:cs="仿宋_GB2312"/>
          <w:color w:val="FF5050"/>
          <w:sz w:val="32"/>
        </w:rPr>
      </w:pPr>
      <w:r>
        <w:rPr>
          <w:rFonts w:hint="eastAsia" w:ascii="仿宋_GB2312" w:hAnsi="仿宋_GB2312" w:eastAsia="仿宋_GB2312" w:cs="仿宋_GB2312"/>
          <w:color w:val="FF5050"/>
          <w:sz w:val="32"/>
        </w:rPr>
        <w:t>━━━━━━━━━━━━━━━━━━━━━━━━━━━</w:t>
      </w:r>
    </w:p>
    <w:p>
      <w:pPr>
        <w:spacing w:line="560" w:lineRule="exact"/>
        <w:jc w:val="center"/>
        <w:rPr>
          <w:rFonts w:ascii="方正小标宋简体" w:eastAsia="方正小标宋简体"/>
          <w:b w:val="0"/>
          <w:bCs/>
          <w:sz w:val="44"/>
          <w:szCs w:val="44"/>
        </w:rPr>
      </w:pPr>
      <w:r>
        <w:rPr>
          <w:rFonts w:hint="eastAsia" w:ascii="方正小标宋简体" w:eastAsia="方正小标宋简体"/>
          <w:b w:val="0"/>
          <w:bCs/>
          <w:sz w:val="44"/>
          <w:szCs w:val="44"/>
        </w:rPr>
        <w:t>关于提前下达2024年中央财政残疾人事业</w:t>
      </w:r>
    </w:p>
    <w:p>
      <w:pPr>
        <w:spacing w:line="560" w:lineRule="exact"/>
        <w:jc w:val="center"/>
        <w:rPr>
          <w:rFonts w:ascii="方正小标宋简体" w:eastAsia="方正小标宋简体"/>
          <w:b w:val="0"/>
          <w:bCs/>
          <w:sz w:val="44"/>
          <w:szCs w:val="44"/>
        </w:rPr>
      </w:pPr>
      <w:r>
        <w:rPr>
          <w:rFonts w:hint="eastAsia" w:ascii="方正小标宋简体" w:eastAsia="方正小标宋简体"/>
          <w:b w:val="0"/>
          <w:bCs/>
          <w:sz w:val="44"/>
          <w:szCs w:val="44"/>
        </w:rPr>
        <w:t>发展补助资金预算的通知</w:t>
      </w:r>
    </w:p>
    <w:p>
      <w:pPr>
        <w:spacing w:line="560" w:lineRule="exact"/>
        <w:jc w:val="center"/>
        <w:rPr>
          <w:rFonts w:ascii="方正小标宋简体" w:eastAsia="方正小标宋简体"/>
          <w:b/>
          <w:sz w:val="44"/>
          <w:szCs w:val="44"/>
        </w:rPr>
      </w:pPr>
    </w:p>
    <w:p>
      <w:pPr>
        <w:spacing w:line="560" w:lineRule="exact"/>
        <w:rPr>
          <w:rFonts w:ascii="仿宋_GB2312" w:eastAsia="仿宋_GB2312"/>
          <w:sz w:val="32"/>
          <w:szCs w:val="32"/>
        </w:rPr>
      </w:pPr>
      <w:r>
        <w:rPr>
          <w:rFonts w:hint="eastAsia" w:ascii="仿宋_GB2312" w:eastAsia="仿宋_GB2312"/>
          <w:sz w:val="32"/>
          <w:szCs w:val="32"/>
        </w:rPr>
        <w:t>县</w:t>
      </w:r>
      <w:r>
        <w:rPr>
          <w:rFonts w:hint="eastAsia" w:ascii="仿宋_GB2312" w:eastAsia="仿宋_GB2312"/>
          <w:sz w:val="32"/>
          <w:szCs w:val="32"/>
          <w:lang w:val="en-US" w:eastAsia="zh-CN"/>
        </w:rPr>
        <w:t>残联</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为提高预算完整性，加快支出进度，按照预算管理有关规定和《关于提前下达2024年</w:t>
      </w:r>
      <w:bookmarkStart w:id="0" w:name="_GoBack"/>
      <w:bookmarkEnd w:id="0"/>
      <w:r>
        <w:rPr>
          <w:rFonts w:hint="eastAsia" w:ascii="仿宋_GB2312" w:eastAsia="仿宋_GB2312"/>
          <w:sz w:val="32"/>
          <w:szCs w:val="32"/>
        </w:rPr>
        <w:t>中央财政残疾人事业发展补助资金预算的通知》(</w:t>
      </w:r>
      <w:r>
        <w:rPr>
          <w:rFonts w:hint="eastAsia" w:ascii="仿宋_GB2312" w:eastAsia="仿宋_GB2312"/>
          <w:sz w:val="32"/>
          <w:szCs w:val="32"/>
          <w:highlight w:val="none"/>
          <w:lang w:val="en-US" w:eastAsia="zh-CN"/>
        </w:rPr>
        <w:t>吐市</w:t>
      </w:r>
      <w:r>
        <w:rPr>
          <w:rFonts w:hint="eastAsia" w:ascii="仿宋_GB2312" w:eastAsia="仿宋_GB2312"/>
          <w:sz w:val="32"/>
          <w:szCs w:val="32"/>
          <w:highlight w:val="none"/>
        </w:rPr>
        <w:t>财社〔202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68</w:t>
      </w:r>
      <w:r>
        <w:rPr>
          <w:rFonts w:hint="eastAsia" w:ascii="仿宋_GB2312" w:eastAsia="仿宋_GB2312"/>
          <w:sz w:val="32"/>
          <w:szCs w:val="32"/>
          <w:highlight w:val="none"/>
        </w:rPr>
        <w:t>号</w:t>
      </w:r>
      <w:r>
        <w:rPr>
          <w:rFonts w:hint="eastAsia" w:ascii="仿宋_GB2312" w:eastAsia="仿宋_GB2312"/>
          <w:sz w:val="32"/>
          <w:szCs w:val="32"/>
        </w:rPr>
        <w:t>)，经研究，现提前下达你</w:t>
      </w:r>
      <w:r>
        <w:rPr>
          <w:rFonts w:hint="eastAsia" w:ascii="仿宋_GB2312" w:eastAsia="仿宋_GB2312"/>
          <w:sz w:val="32"/>
          <w:szCs w:val="32"/>
          <w:lang w:val="en-US" w:eastAsia="zh-CN"/>
        </w:rPr>
        <w:t>单位</w:t>
      </w:r>
      <w:r>
        <w:rPr>
          <w:rFonts w:hint="eastAsia" w:ascii="仿宋_GB2312" w:eastAsia="仿宋_GB2312"/>
          <w:sz w:val="32"/>
          <w:szCs w:val="32"/>
        </w:rPr>
        <w:t>2024年中央财政残疾人事业发展补助资金</w:t>
      </w:r>
      <w:r>
        <w:rPr>
          <w:rFonts w:hint="eastAsia" w:ascii="仿宋_GB2312" w:eastAsia="仿宋_GB2312"/>
          <w:b/>
          <w:bCs/>
          <w:sz w:val="32"/>
          <w:szCs w:val="32"/>
          <w:lang w:val="en-US" w:eastAsia="zh-CN"/>
        </w:rPr>
        <w:t>28.52万元</w:t>
      </w:r>
      <w:r>
        <w:rPr>
          <w:rFonts w:hint="eastAsia" w:ascii="仿宋_GB2312" w:eastAsia="仿宋_GB2312"/>
          <w:sz w:val="32"/>
          <w:szCs w:val="32"/>
        </w:rPr>
        <w:t>（含一般公共预算资金和中央专项彩票公益金支持残疾人事业发展补助资金）。现将有关事宜通知如下：</w:t>
      </w:r>
    </w:p>
    <w:p>
      <w:pPr>
        <w:spacing w:line="560" w:lineRule="exact"/>
        <w:ind w:firstLine="800" w:firstLineChars="250"/>
        <w:jc w:val="left"/>
        <w:rPr>
          <w:rFonts w:ascii="仿宋_GB2312" w:eastAsia="仿宋_GB2312"/>
          <w:sz w:val="32"/>
          <w:szCs w:val="32"/>
        </w:rPr>
      </w:pPr>
      <w:r>
        <w:rPr>
          <w:rFonts w:hint="eastAsia" w:ascii="仿宋_GB2312" w:eastAsia="仿宋_GB2312"/>
          <w:sz w:val="32"/>
          <w:szCs w:val="32"/>
        </w:rPr>
        <w:t>一、此次下达的中央财政补助资金预算，一般公共预算资金收入列2024年政府收支分类科目中的一般公共预算资金收支分类科目“1100248社会保障和就业共同财政事权转移支付收入”，支出列“20811残疾人事业”下各相关科目，</w:t>
      </w:r>
      <w:r>
        <w:rPr>
          <w:rFonts w:hint="eastAsia" w:ascii="仿宋_GB2312" w:eastAsia="仿宋_GB2312"/>
          <w:sz w:val="32"/>
          <w:szCs w:val="32"/>
          <w:lang w:val="en-US" w:eastAsia="zh-CN"/>
        </w:rPr>
        <w:t>你单位</w:t>
      </w:r>
      <w:r>
        <w:rPr>
          <w:rFonts w:hint="eastAsia" w:ascii="仿宋_GB2312" w:eastAsia="仿宋_GB2312"/>
          <w:sz w:val="32"/>
          <w:szCs w:val="32"/>
        </w:rPr>
        <w:t>必须根据实际支出方向将支出功能科目明确至项级科目，待2024年预算年度开始后，按支出方向单独记账，分别核算。补助资金主要用于7岁以上残疾人康复、农村困难残疾人实用技术培训、阳光家园计划-智力、精神和重度肢体残疾人托养服务等方面支出。中央专项彩票公益金支持残疾人事业发展补助资金收入列2024年政府收支分类科目中的政府性基金预算收入分类科目“1100406社会保障和就业”，支出列“2296006用于残疾人事业的彩票公益金支出”，补助资金主要用于0-6岁残疾儿童康复救助及早期干预试点、困难智力精神和重度残疾人评定补贴、残疾人康复和托养机构设备补助等方面支出。</w:t>
      </w:r>
    </w:p>
    <w:p>
      <w:pPr>
        <w:spacing w:line="560" w:lineRule="exact"/>
        <w:ind w:firstLine="800" w:firstLineChars="250"/>
        <w:jc w:val="left"/>
        <w:rPr>
          <w:rFonts w:ascii="仿宋_GB2312" w:eastAsia="仿宋_GB2312"/>
          <w:sz w:val="32"/>
          <w:szCs w:val="32"/>
        </w:rPr>
      </w:pPr>
      <w:r>
        <w:rPr>
          <w:rFonts w:hint="eastAsia" w:ascii="仿宋_GB2312" w:eastAsia="仿宋_GB2312"/>
          <w:sz w:val="32"/>
          <w:szCs w:val="32"/>
        </w:rPr>
        <w:t>二、按照中央和自治区直达资金要求，此次下达的一般公共预算补助资金为中央直达资金，直达资金标识为“01中央直达资金”，贯穿资金分配、拨付、使用等整个环节，且保持不变。</w:t>
      </w:r>
    </w:p>
    <w:p>
      <w:pPr>
        <w:spacing w:line="560" w:lineRule="exact"/>
        <w:ind w:firstLine="800" w:firstLineChars="250"/>
        <w:rPr>
          <w:rFonts w:hint="eastAsia" w:ascii="仿宋_GB2312" w:hAnsi="仿宋"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为进一步加强预算绩效管理，切实提高财政资金使用效益，请按照《关于印发&lt;自治区本级部门预算绩效目标管理暂行办法&gt;的通知》（新财预</w:t>
      </w:r>
      <w:r>
        <w:rPr>
          <w:rFonts w:hint="eastAsia" w:ascii="仿宋_GB2312" w:hAnsi="宋体" w:eastAsia="仿宋_GB2312"/>
          <w:sz w:val="32"/>
          <w:szCs w:val="32"/>
        </w:rPr>
        <w:t>〔2018〕</w:t>
      </w:r>
      <w:r>
        <w:rPr>
          <w:rFonts w:hint="eastAsia" w:ascii="仿宋_GB2312" w:hAnsi="仿宋" w:eastAsia="仿宋_GB2312"/>
          <w:sz w:val="32"/>
          <w:szCs w:val="32"/>
        </w:rPr>
        <w:t>21号）相关要求，加强资金绩效管理，提高财政资金使用效益。</w:t>
      </w:r>
    </w:p>
    <w:p>
      <w:pPr>
        <w:spacing w:line="560" w:lineRule="exact"/>
        <w:ind w:firstLine="800" w:firstLineChars="250"/>
        <w:rPr>
          <w:rFonts w:ascii="仿宋_GB2312" w:hAnsi="仿宋" w:eastAsia="仿宋_GB2312"/>
          <w:sz w:val="32"/>
          <w:szCs w:val="32"/>
        </w:rPr>
      </w:pPr>
      <w:r>
        <w:rPr>
          <w:rFonts w:hint="eastAsia" w:ascii="仿宋_GB2312" w:eastAsia="仿宋_GB2312"/>
          <w:sz w:val="32"/>
          <w:szCs w:val="32"/>
        </w:rPr>
        <w:t>四、</w:t>
      </w:r>
      <w:r>
        <w:rPr>
          <w:rFonts w:hint="eastAsia" w:ascii="仿宋_GB2312" w:eastAsia="仿宋_GB2312"/>
          <w:sz w:val="32"/>
          <w:szCs w:val="32"/>
          <w:lang w:val="en-US" w:eastAsia="zh-CN"/>
        </w:rPr>
        <w:t>你单位</w:t>
      </w:r>
      <w:r>
        <w:rPr>
          <w:rFonts w:hint="eastAsia" w:ascii="仿宋_GB2312" w:eastAsia="仿宋_GB2312"/>
          <w:sz w:val="32"/>
          <w:szCs w:val="32"/>
        </w:rPr>
        <w:t>要加强资金使用监督管理，严格按规定范围、标准和程序使用资金，加快预算执行进度，提高资金使用的规范性、安全性和有效性。</w:t>
      </w:r>
    </w:p>
    <w:p>
      <w:pPr>
        <w:spacing w:line="560" w:lineRule="exact"/>
        <w:ind w:left="1758" w:leftChars="304" w:hanging="1120" w:hangingChars="350"/>
        <w:jc w:val="left"/>
        <w:rPr>
          <w:rFonts w:ascii="仿宋_GB2312" w:eastAsia="仿宋_GB2312"/>
          <w:color w:val="000000" w:themeColor="text1"/>
          <w:sz w:val="32"/>
          <w:szCs w:val="32"/>
        </w:rPr>
      </w:pPr>
      <w:r>
        <w:rPr>
          <w:rFonts w:hint="eastAsia" w:ascii="仿宋_GB2312" w:eastAsia="仿宋_GB2312"/>
          <w:sz w:val="32"/>
          <w:szCs w:val="32"/>
        </w:rPr>
        <w:t>附件</w:t>
      </w:r>
      <w:r>
        <w:rPr>
          <w:rFonts w:hint="eastAsia" w:ascii="仿宋_GB2312" w:eastAsia="仿宋_GB2312"/>
          <w:sz w:val="32"/>
          <w:szCs w:val="32"/>
          <w:lang w:eastAsia="zh-CN"/>
        </w:rPr>
        <w:t>：</w:t>
      </w:r>
      <w:r>
        <w:rPr>
          <w:rFonts w:hint="eastAsia" w:ascii="仿宋_GB2312" w:eastAsia="仿宋_GB2312"/>
          <w:color w:val="000000" w:themeColor="text1"/>
          <w:sz w:val="32"/>
          <w:szCs w:val="32"/>
        </w:rPr>
        <w:t>1.2024年提前下达中央财政残疾人事业发展补助资金分配表（中央专项彩票公益金）</w:t>
      </w:r>
    </w:p>
    <w:p>
      <w:pPr>
        <w:spacing w:line="560" w:lineRule="exact"/>
        <w:ind w:left="1916" w:leftChars="760" w:hanging="320" w:hangingChars="100"/>
        <w:jc w:val="left"/>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2.2024年提前下达中央财政残疾人事业发展补助</w:t>
      </w:r>
    </w:p>
    <w:p>
      <w:pPr>
        <w:spacing w:line="560" w:lineRule="exact"/>
        <w:ind w:left="1916" w:leftChars="760" w:hanging="320" w:hangingChars="100"/>
        <w:jc w:val="left"/>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绩效目标表</w:t>
      </w:r>
      <w:r>
        <w:rPr>
          <w:rFonts w:hint="eastAsia" w:ascii="仿宋_GB2312" w:eastAsia="仿宋_GB2312"/>
          <w:color w:val="000000" w:themeColor="text1"/>
          <w:sz w:val="32"/>
          <w:szCs w:val="32"/>
        </w:rPr>
        <w:t>（中央专项彩票公益金）</w:t>
      </w:r>
    </w:p>
    <w:p>
      <w:pPr>
        <w:spacing w:line="560" w:lineRule="exact"/>
        <w:ind w:firstLine="5120" w:firstLineChars="1600"/>
        <w:jc w:val="lef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托克逊县财政局</w:t>
      </w:r>
    </w:p>
    <w:p>
      <w:pPr>
        <w:spacing w:line="600" w:lineRule="exact"/>
        <w:ind w:firstLine="5472" w:firstLineChars="1710"/>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09</w:t>
      </w:r>
      <w:r>
        <w:rPr>
          <w:rFonts w:hint="eastAsia" w:ascii="仿宋_GB2312" w:eastAsia="仿宋_GB2312"/>
          <w:sz w:val="32"/>
          <w:szCs w:val="32"/>
          <w:highlight w:val="none"/>
        </w:rPr>
        <w:t>日</w:t>
      </w:r>
    </w:p>
    <w:p>
      <w:pPr>
        <w:tabs>
          <w:tab w:val="left" w:pos="5644"/>
          <w:tab w:val="center" w:pos="6985"/>
        </w:tabs>
        <w:spacing w:line="560" w:lineRule="exact"/>
        <w:jc w:val="left"/>
        <w:rPr>
          <w:rFonts w:hint="eastAsia" w:ascii="仿宋_GB2312" w:hAnsi="仿宋_GB2312" w:eastAsia="仿宋_GB2312" w:cs="仿宋_GB2312"/>
          <w:sz w:val="32"/>
          <w:szCs w:val="32"/>
        </w:rPr>
      </w:pPr>
    </w:p>
    <w:p>
      <w:pPr>
        <w:tabs>
          <w:tab w:val="left" w:pos="5644"/>
          <w:tab w:val="center" w:pos="6985"/>
        </w:tabs>
        <w:spacing w:line="560" w:lineRule="exact"/>
        <w:jc w:val="left"/>
        <w:rPr>
          <w:rFonts w:hint="eastAsia" w:ascii="仿宋_GB2312" w:hAnsi="仿宋_GB2312" w:eastAsia="仿宋_GB2312" w:cs="仿宋_GB2312"/>
          <w:sz w:val="32"/>
          <w:szCs w:val="32"/>
        </w:rPr>
      </w:pPr>
    </w:p>
    <w:p>
      <w:pPr>
        <w:tabs>
          <w:tab w:val="left" w:pos="5644"/>
          <w:tab w:val="center" w:pos="6985"/>
        </w:tabs>
        <w:spacing w:line="560" w:lineRule="exact"/>
        <w:jc w:val="left"/>
        <w:rPr>
          <w:rFonts w:hint="eastAsia" w:ascii="仿宋_GB2312" w:hAnsi="仿宋_GB2312" w:eastAsia="仿宋_GB2312" w:cs="仿宋_GB2312"/>
          <w:sz w:val="32"/>
          <w:szCs w:val="32"/>
        </w:rPr>
      </w:pPr>
    </w:p>
    <w:p>
      <w:pPr>
        <w:tabs>
          <w:tab w:val="left" w:pos="5644"/>
          <w:tab w:val="center" w:pos="6985"/>
        </w:tabs>
        <w:spacing w:line="560" w:lineRule="exact"/>
        <w:jc w:val="left"/>
        <w:rPr>
          <w:rFonts w:hint="eastAsia" w:ascii="仿宋_GB2312" w:hAnsi="仿宋_GB2312" w:eastAsia="仿宋_GB2312" w:cs="仿宋_GB2312"/>
          <w:sz w:val="32"/>
          <w:szCs w:val="32"/>
        </w:rPr>
      </w:pPr>
    </w:p>
    <w:p>
      <w:pPr>
        <w:tabs>
          <w:tab w:val="left" w:pos="5644"/>
          <w:tab w:val="center" w:pos="6985"/>
        </w:tabs>
        <w:spacing w:line="560" w:lineRule="exact"/>
        <w:jc w:val="left"/>
        <w:rPr>
          <w:rFonts w:hint="eastAsia" w:ascii="仿宋_GB2312" w:hAnsi="仿宋_GB2312" w:eastAsia="仿宋_GB2312" w:cs="仿宋_GB2312"/>
          <w:sz w:val="32"/>
          <w:szCs w:val="32"/>
        </w:rPr>
      </w:pPr>
    </w:p>
    <w:p>
      <w:pPr>
        <w:tabs>
          <w:tab w:val="left" w:pos="5644"/>
          <w:tab w:val="center" w:pos="6985"/>
        </w:tabs>
        <w:spacing w:line="560" w:lineRule="exact"/>
        <w:jc w:val="left"/>
        <w:rPr>
          <w:rFonts w:hint="eastAsia" w:ascii="仿宋_GB2312" w:hAnsi="仿宋_GB2312" w:eastAsia="仿宋_GB2312" w:cs="仿宋_GB2312"/>
          <w:sz w:val="32"/>
          <w:szCs w:val="32"/>
        </w:rPr>
      </w:pPr>
    </w:p>
    <w:p>
      <w:pPr>
        <w:tabs>
          <w:tab w:val="left" w:pos="5644"/>
          <w:tab w:val="center" w:pos="6985"/>
        </w:tabs>
        <w:spacing w:line="560" w:lineRule="exact"/>
        <w:jc w:val="left"/>
        <w:rPr>
          <w:rFonts w:hint="eastAsia" w:ascii="仿宋_GB2312" w:hAnsi="仿宋_GB2312" w:eastAsia="仿宋_GB2312" w:cs="仿宋_GB2312"/>
          <w:sz w:val="32"/>
          <w:szCs w:val="32"/>
        </w:rPr>
      </w:pPr>
    </w:p>
    <w:p>
      <w:pPr>
        <w:tabs>
          <w:tab w:val="left" w:pos="5644"/>
          <w:tab w:val="center" w:pos="6985"/>
        </w:tabs>
        <w:spacing w:line="560" w:lineRule="exact"/>
        <w:jc w:val="left"/>
        <w:rPr>
          <w:rFonts w:hint="eastAsia" w:ascii="仿宋_GB2312" w:hAnsi="仿宋_GB2312" w:eastAsia="仿宋_GB2312" w:cs="仿宋_GB2312"/>
          <w:sz w:val="32"/>
          <w:szCs w:val="32"/>
        </w:rPr>
      </w:pPr>
    </w:p>
    <w:p>
      <w:pPr>
        <w:tabs>
          <w:tab w:val="left" w:pos="5644"/>
          <w:tab w:val="center" w:pos="6985"/>
        </w:tabs>
        <w:spacing w:line="560" w:lineRule="exact"/>
        <w:jc w:val="left"/>
        <w:rPr>
          <w:rFonts w:hint="eastAsia" w:ascii="仿宋_GB2312" w:hAnsi="仿宋_GB2312" w:eastAsia="仿宋_GB2312" w:cs="仿宋_GB2312"/>
          <w:sz w:val="32"/>
          <w:szCs w:val="32"/>
        </w:rPr>
      </w:pPr>
    </w:p>
    <w:p>
      <w:pPr>
        <w:tabs>
          <w:tab w:val="left" w:pos="5644"/>
          <w:tab w:val="center" w:pos="6985"/>
        </w:tabs>
        <w:spacing w:line="560" w:lineRule="exact"/>
        <w:jc w:val="left"/>
        <w:rPr>
          <w:rFonts w:hint="eastAsia" w:ascii="仿宋_GB2312" w:hAnsi="仿宋_GB2312" w:eastAsia="仿宋_GB2312" w:cs="仿宋_GB2312"/>
          <w:sz w:val="32"/>
          <w:szCs w:val="32"/>
        </w:rPr>
      </w:pPr>
    </w:p>
    <w:p>
      <w:pPr>
        <w:tabs>
          <w:tab w:val="left" w:pos="5644"/>
          <w:tab w:val="center" w:pos="6985"/>
        </w:tabs>
        <w:spacing w:line="560" w:lineRule="exact"/>
        <w:jc w:val="left"/>
        <w:rPr>
          <w:rFonts w:hint="eastAsia" w:ascii="仿宋_GB2312" w:hAnsi="仿宋_GB2312" w:eastAsia="仿宋_GB2312" w:cs="仿宋_GB2312"/>
          <w:sz w:val="32"/>
          <w:szCs w:val="32"/>
        </w:rPr>
      </w:pPr>
    </w:p>
    <w:p>
      <w:pPr>
        <w:tabs>
          <w:tab w:val="left" w:pos="5644"/>
          <w:tab w:val="center" w:pos="6985"/>
        </w:tabs>
        <w:spacing w:line="560" w:lineRule="exact"/>
        <w:jc w:val="left"/>
        <w:rPr>
          <w:rFonts w:hint="eastAsia" w:ascii="仿宋_GB2312" w:hAnsi="仿宋_GB2312" w:eastAsia="仿宋_GB2312" w:cs="仿宋_GB2312"/>
          <w:sz w:val="32"/>
          <w:szCs w:val="32"/>
        </w:rPr>
      </w:pPr>
    </w:p>
    <w:p>
      <w:pPr>
        <w:tabs>
          <w:tab w:val="left" w:pos="5644"/>
          <w:tab w:val="center" w:pos="6985"/>
        </w:tabs>
        <w:spacing w:line="560" w:lineRule="exact"/>
        <w:ind w:firstLine="640" w:firstLineChars="200"/>
        <w:jc w:val="left"/>
        <w:rPr>
          <w:rFonts w:hint="eastAsia" w:ascii="仿宋_GB2312" w:hAnsi="仿宋_GB2312" w:eastAsia="仿宋_GB2312" w:cs="仿宋_GB2312"/>
          <w:sz w:val="32"/>
          <w:szCs w:val="32"/>
          <w:lang w:eastAsia="zh-CN"/>
        </w:rPr>
      </w:pPr>
      <w:r>
        <w:rPr>
          <w:sz w:val="32"/>
        </w:rPr>
        <w:pict>
          <v:line id="_x0000_s1029" o:spid="_x0000_s1029" o:spt="20" style="position:absolute;left:0pt;flip:y;margin-left:0.65pt;margin-top:6.05pt;height:0.4pt;width:436.1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32"/>
          <w:szCs w:val="32"/>
          <w:lang w:eastAsia="zh-CN"/>
        </w:rPr>
        <w:t>抄送：预算科，</w:t>
      </w:r>
      <w:r>
        <w:rPr>
          <w:rFonts w:hint="eastAsia" w:ascii="仿宋_GB2312" w:hAnsi="仿宋_GB2312" w:eastAsia="仿宋_GB2312" w:cs="仿宋_GB2312"/>
          <w:sz w:val="32"/>
          <w:szCs w:val="32"/>
          <w:lang w:val="en-US" w:eastAsia="zh-CN"/>
        </w:rPr>
        <w:t>残联</w:t>
      </w:r>
      <w:r>
        <w:rPr>
          <w:rFonts w:hint="eastAsia" w:ascii="仿宋_GB2312" w:hAnsi="仿宋_GB2312" w:eastAsia="仿宋_GB2312" w:cs="仿宋_GB2312"/>
          <w:sz w:val="32"/>
          <w:szCs w:val="32"/>
          <w:lang w:eastAsia="zh-CN"/>
        </w:rPr>
        <w:t>。</w:t>
      </w:r>
    </w:p>
    <w:p>
      <w:pPr>
        <w:tabs>
          <w:tab w:val="left" w:pos="5644"/>
          <w:tab w:val="center" w:pos="6985"/>
        </w:tabs>
        <w:spacing w:line="560" w:lineRule="exact"/>
        <w:ind w:firstLine="640" w:firstLineChars="200"/>
        <w:jc w:val="left"/>
        <w:rPr>
          <w:rFonts w:hint="default" w:ascii="仿宋_GB2312" w:hAnsi="仿宋_GB2312" w:eastAsia="仿宋_GB2312" w:cs="仿宋_GB2312"/>
          <w:sz w:val="32"/>
          <w:szCs w:val="32"/>
          <w:lang w:val="en-US"/>
        </w:rPr>
      </w:pPr>
      <w:r>
        <w:rPr>
          <w:sz w:val="32"/>
        </w:rPr>
        <w:pict>
          <v:line id="_x0000_s1031" o:spid="_x0000_s1031" o:spt="20" style="position:absolute;left:0pt;margin-left:0.3pt;margin-top:4.8pt;height:1.1pt;width:436.95pt;z-index:251658240;mso-width-relative:page;mso-height-relative:page;" filled="f" stroked="t" coordsize="21600,21600">
            <v:path arrowok="t"/>
            <v:fill on="f" focussize="0,0"/>
            <v:stroke weight="0.25pt" color="#000000"/>
            <v:imagedata o:title=""/>
            <o:lock v:ext="edit" aspectratio="f"/>
          </v:line>
        </w:pict>
      </w:r>
      <w:r>
        <w:rPr>
          <w:sz w:val="32"/>
        </w:rPr>
        <w:pict>
          <v:line id="_x0000_s1030" o:spid="_x0000_s1030" o:spt="20" style="position:absolute;left:0pt;margin-left:0.15pt;margin-top:34.7pt;height:0.4pt;width:437.1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32"/>
          <w:szCs w:val="32"/>
          <w:lang w:eastAsia="zh-CN"/>
        </w:rPr>
        <w:t>托克逊县财政局</w:t>
      </w:r>
      <w:r>
        <w:rPr>
          <w:rFonts w:hint="eastAsia" w:ascii="仿宋_GB2312" w:hAnsi="仿宋_GB2312" w:eastAsia="仿宋_GB2312" w:cs="仿宋_GB2312"/>
          <w:sz w:val="32"/>
          <w:szCs w:val="32"/>
          <w:lang w:val="en-US" w:eastAsia="zh-CN"/>
        </w:rPr>
        <w:t xml:space="preserve">               2023年</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09</w:t>
      </w:r>
      <w:r>
        <w:rPr>
          <w:rFonts w:hint="eastAsia" w:ascii="仿宋_GB2312" w:hAnsi="仿宋_GB2312" w:eastAsia="仿宋_GB2312" w:cs="仿宋_GB2312"/>
          <w:sz w:val="32"/>
          <w:szCs w:val="32"/>
          <w:lang w:val="en-US" w:eastAsia="zh-CN"/>
        </w:rPr>
        <w:t>日印发</w:t>
      </w:r>
    </w:p>
    <w:p>
      <w:pPr>
        <w:spacing w:line="600" w:lineRule="exact"/>
        <w:rPr>
          <w:rFonts w:hint="eastAsia" w:ascii="仿宋_GB2312" w:eastAsia="仿宋_GB2312"/>
          <w:sz w:val="52"/>
          <w:szCs w:val="52"/>
          <w:highlight w:val="none"/>
          <w:lang w:val="en-US" w:eastAsia="zh-CN"/>
        </w:rPr>
      </w:pPr>
    </w:p>
    <w:p>
      <w:pPr>
        <w:spacing w:line="600" w:lineRule="exact"/>
        <w:rPr>
          <w:rFonts w:hint="eastAsia" w:ascii="仿宋_GB2312" w:eastAsia="仿宋_GB2312"/>
          <w:sz w:val="52"/>
          <w:szCs w:val="52"/>
          <w:highlight w:val="none"/>
          <w:lang w:val="en-US" w:eastAsia="zh-CN"/>
        </w:rPr>
      </w:pPr>
    </w:p>
    <w:p>
      <w:pPr>
        <w:spacing w:line="600" w:lineRule="exact"/>
        <w:rPr>
          <w:rFonts w:hint="default" w:ascii="仿宋_GB2312" w:eastAsia="仿宋_GB2312"/>
          <w:sz w:val="52"/>
          <w:szCs w:val="52"/>
          <w:highlight w:val="none"/>
          <w:lang w:val="en-US" w:eastAsia="zh-CN"/>
        </w:rPr>
      </w:pPr>
      <w:r>
        <w:rPr>
          <w:rFonts w:hint="eastAsia" w:ascii="仿宋_GB2312" w:eastAsia="仿宋_GB2312"/>
          <w:sz w:val="52"/>
          <w:szCs w:val="52"/>
          <w:highlight w:val="none"/>
          <w:lang w:val="en-US" w:eastAsia="zh-CN"/>
        </w:rPr>
        <w:t>附件1</w:t>
      </w:r>
    </w:p>
    <w:p>
      <w:pPr>
        <w:spacing w:line="600" w:lineRule="exact"/>
        <w:rPr>
          <w:rFonts w:hint="eastAsia" w:ascii="仿宋_GB2312" w:eastAsia="仿宋_GB2312"/>
          <w:sz w:val="32"/>
          <w:szCs w:val="32"/>
          <w:highlight w:val="none"/>
        </w:rPr>
      </w:pPr>
    </w:p>
    <w:p>
      <w:pPr>
        <w:spacing w:line="600" w:lineRule="exact"/>
        <w:rPr>
          <w:rFonts w:hint="eastAsia" w:ascii="仿宋_GB2312" w:eastAsia="仿宋_GB2312"/>
          <w:sz w:val="32"/>
          <w:szCs w:val="32"/>
          <w:highlight w:val="none"/>
        </w:rPr>
      </w:pPr>
    </w:p>
    <w:tbl>
      <w:tblPr>
        <w:tblStyle w:val="6"/>
        <w:tblW w:w="8820" w:type="dxa"/>
        <w:tblInd w:w="0" w:type="dxa"/>
        <w:shd w:val="clear" w:color="auto" w:fill="auto"/>
        <w:tblLayout w:type="autofit"/>
        <w:tblCellMar>
          <w:top w:w="0" w:type="dxa"/>
          <w:left w:w="0" w:type="dxa"/>
          <w:bottom w:w="0" w:type="dxa"/>
          <w:right w:w="0" w:type="dxa"/>
        </w:tblCellMar>
      </w:tblPr>
      <w:tblGrid>
        <w:gridCol w:w="753"/>
        <w:gridCol w:w="3194"/>
        <w:gridCol w:w="3610"/>
        <w:gridCol w:w="1263"/>
      </w:tblGrid>
      <w:tr>
        <w:tblPrEx>
          <w:tblCellMar>
            <w:top w:w="0" w:type="dxa"/>
            <w:left w:w="0" w:type="dxa"/>
            <w:bottom w:w="0" w:type="dxa"/>
            <w:right w:w="0" w:type="dxa"/>
          </w:tblCellMar>
        </w:tblPrEx>
        <w:trPr>
          <w:trHeight w:val="2878" w:hRule="atLeast"/>
        </w:trPr>
        <w:tc>
          <w:tcPr>
            <w:tcW w:w="882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52"/>
                <w:szCs w:val="52"/>
                <w:u w:val="none"/>
              </w:rPr>
            </w:pPr>
            <w:r>
              <w:rPr>
                <w:rFonts w:hint="eastAsia" w:ascii="宋体" w:hAnsi="宋体" w:eastAsia="宋体" w:cs="宋体"/>
                <w:b/>
                <w:i w:val="0"/>
                <w:color w:val="000000"/>
                <w:kern w:val="0"/>
                <w:sz w:val="52"/>
                <w:szCs w:val="52"/>
                <w:u w:val="none"/>
                <w:lang w:val="en-US" w:eastAsia="zh-CN" w:bidi="ar"/>
              </w:rPr>
              <w:t>提前下达2024年中央残疾人事业发展补助资金分配表（中央专项彩票公益金）</w:t>
            </w:r>
          </w:p>
        </w:tc>
      </w:tr>
      <w:tr>
        <w:tblPrEx>
          <w:tblCellMar>
            <w:top w:w="0" w:type="dxa"/>
            <w:left w:w="0" w:type="dxa"/>
            <w:bottom w:w="0" w:type="dxa"/>
            <w:right w:w="0" w:type="dxa"/>
          </w:tblCellMar>
        </w:tblPrEx>
        <w:trPr>
          <w:trHeight w:val="1333"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_GB2312" w:hAnsi="宋体" w:eastAsia="仿宋_GB2312" w:cs="仿宋_GB2312"/>
                <w:i w:val="0"/>
                <w:color w:val="000000"/>
                <w:sz w:val="36"/>
                <w:szCs w:val="36"/>
                <w:u w:val="none"/>
              </w:rPr>
            </w:pPr>
            <w:r>
              <w:rPr>
                <w:rFonts w:hint="eastAsia" w:ascii="仿宋_GB2312" w:hAnsi="宋体" w:eastAsia="仿宋_GB2312" w:cs="仿宋_GB2312"/>
                <w:i w:val="0"/>
                <w:color w:val="000000"/>
                <w:kern w:val="0"/>
                <w:sz w:val="36"/>
                <w:szCs w:val="36"/>
                <w:u w:val="none"/>
                <w:lang w:val="en-US" w:eastAsia="zh-CN" w:bidi="ar"/>
              </w:rPr>
              <w:t>单位：万元</w:t>
            </w:r>
          </w:p>
        </w:tc>
      </w:tr>
      <w:tr>
        <w:tblPrEx>
          <w:shd w:val="clear" w:color="auto" w:fill="auto"/>
          <w:tblCellMar>
            <w:top w:w="0" w:type="dxa"/>
            <w:left w:w="0" w:type="dxa"/>
            <w:bottom w:w="0" w:type="dxa"/>
            <w:right w:w="0" w:type="dxa"/>
          </w:tblCellMar>
        </w:tblPrEx>
        <w:trPr>
          <w:trHeight w:val="101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序号</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单位称</w:t>
            </w:r>
          </w:p>
        </w:tc>
        <w:tc>
          <w:tcPr>
            <w:tcW w:w="37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提前下达补助资金</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备注</w:t>
            </w:r>
          </w:p>
        </w:tc>
      </w:tr>
      <w:tr>
        <w:tblPrEx>
          <w:shd w:val="clear" w:color="auto" w:fill="auto"/>
          <w:tblCellMar>
            <w:top w:w="0" w:type="dxa"/>
            <w:left w:w="0" w:type="dxa"/>
            <w:bottom w:w="0" w:type="dxa"/>
            <w:right w:w="0" w:type="dxa"/>
          </w:tblCellMar>
        </w:tblPrEx>
        <w:trPr>
          <w:trHeight w:val="14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37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shd w:val="clear" w:color="auto" w:fill="auto"/>
          <w:tblCellMar>
            <w:top w:w="0" w:type="dxa"/>
            <w:left w:w="0" w:type="dxa"/>
            <w:bottom w:w="0" w:type="dxa"/>
            <w:right w:w="0" w:type="dxa"/>
          </w:tblCellMar>
        </w:tblPrEx>
        <w:trPr>
          <w:trHeight w:val="2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残联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ind w:firstLine="160" w:firstLineChars="50"/>
        <w:rPr>
          <w:rFonts w:ascii="仿宋_GB2312" w:eastAsia="仿宋_GB2312"/>
          <w:sz w:val="32"/>
        </w:rPr>
      </w:pPr>
    </w:p>
    <w:p>
      <w:pPr>
        <w:spacing w:line="600" w:lineRule="exact"/>
        <w:rPr>
          <w:rFonts w:hint="default" w:ascii="仿宋_GB2312" w:eastAsia="仿宋_GB2312"/>
          <w:sz w:val="52"/>
          <w:szCs w:val="52"/>
          <w:highlight w:val="none"/>
          <w:lang w:val="en-US" w:eastAsia="zh-CN"/>
        </w:rPr>
      </w:pPr>
      <w:r>
        <w:rPr>
          <w:rFonts w:hint="eastAsia" w:ascii="仿宋_GB2312" w:eastAsia="仿宋_GB2312"/>
          <w:sz w:val="52"/>
          <w:szCs w:val="52"/>
          <w:highlight w:val="none"/>
          <w:lang w:val="en-US" w:eastAsia="zh-CN"/>
        </w:rPr>
        <w:t>附件2</w:t>
      </w:r>
    </w:p>
    <w:p>
      <w:pPr>
        <w:ind w:firstLine="160" w:firstLineChars="50"/>
        <w:rPr>
          <w:rFonts w:hint="eastAsia" w:ascii="仿宋_GB2312" w:eastAsia="仿宋_GB2312"/>
          <w:sz w:val="32"/>
          <w:lang w:val="en-US" w:eastAsia="zh-CN"/>
        </w:rPr>
      </w:pPr>
    </w:p>
    <w:tbl>
      <w:tblPr>
        <w:tblStyle w:val="6"/>
        <w:tblW w:w="0" w:type="auto"/>
        <w:tblInd w:w="0" w:type="dxa"/>
        <w:shd w:val="clear" w:color="auto" w:fill="auto"/>
        <w:tblLayout w:type="autofit"/>
        <w:tblCellMar>
          <w:top w:w="0" w:type="dxa"/>
          <w:left w:w="0" w:type="dxa"/>
          <w:bottom w:w="0" w:type="dxa"/>
          <w:right w:w="0" w:type="dxa"/>
        </w:tblCellMar>
      </w:tblPr>
      <w:tblGrid>
        <w:gridCol w:w="732"/>
        <w:gridCol w:w="1073"/>
        <w:gridCol w:w="1814"/>
        <w:gridCol w:w="829"/>
        <w:gridCol w:w="992"/>
        <w:gridCol w:w="733"/>
        <w:gridCol w:w="862"/>
        <w:gridCol w:w="1123"/>
        <w:gridCol w:w="604"/>
      </w:tblGrid>
      <w:tr>
        <w:tblPrEx>
          <w:tblCellMar>
            <w:top w:w="0" w:type="dxa"/>
            <w:left w:w="0" w:type="dxa"/>
            <w:bottom w:w="0" w:type="dxa"/>
            <w:right w:w="0" w:type="dxa"/>
          </w:tblCellMar>
        </w:tblPrEx>
        <w:trPr>
          <w:trHeight w:val="333" w:hRule="atLeast"/>
        </w:trPr>
        <w:tc>
          <w:tcPr>
            <w:tcW w:w="0" w:type="auto"/>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2024年度中央财政项目支出绩效目标表</w:t>
            </w:r>
          </w:p>
        </w:tc>
      </w:tr>
      <w:tr>
        <w:tblPrEx>
          <w:shd w:val="clear" w:color="auto" w:fill="auto"/>
          <w:tblCellMar>
            <w:top w:w="0" w:type="dxa"/>
            <w:left w:w="0" w:type="dxa"/>
            <w:bottom w:w="0" w:type="dxa"/>
            <w:right w:w="0" w:type="dxa"/>
          </w:tblCellMar>
        </w:tblPrEx>
        <w:trPr>
          <w:trHeight w:val="34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2024年中央财政残疾人事业发展补助资金(中央专项彩票公益金）</w:t>
            </w:r>
          </w:p>
        </w:tc>
      </w:tr>
      <w:tr>
        <w:tblPrEx>
          <w:tblCellMar>
            <w:top w:w="0" w:type="dxa"/>
            <w:left w:w="0" w:type="dxa"/>
            <w:bottom w:w="0" w:type="dxa"/>
            <w:right w:w="0" w:type="dxa"/>
          </w:tblCellMar>
        </w:tblPrEx>
        <w:trPr>
          <w:trHeight w:val="34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预算单位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托克逊县残疾人联合会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李逊</w:t>
            </w:r>
          </w:p>
        </w:tc>
      </w:tr>
      <w:tr>
        <w:tblPrEx>
          <w:tblCellMar>
            <w:top w:w="0" w:type="dxa"/>
            <w:left w:w="0" w:type="dxa"/>
            <w:bottom w:w="0" w:type="dxa"/>
            <w:right w:w="0" w:type="dxa"/>
          </w:tblCellMar>
        </w:tblPrEx>
        <w:trPr>
          <w:trHeight w:val="343"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项目资金</w:t>
            </w:r>
            <w:r>
              <w:rPr>
                <w:rFonts w:hint="eastAsia" w:ascii="宋体" w:hAnsi="宋体" w:eastAsia="宋体" w:cs="宋体"/>
                <w:b/>
                <w:i w:val="0"/>
                <w:color w:val="000000"/>
                <w:kern w:val="0"/>
                <w:sz w:val="13"/>
                <w:szCs w:val="13"/>
                <w:u w:val="none"/>
                <w:lang w:val="en-US" w:eastAsia="zh-CN" w:bidi="ar"/>
              </w:rPr>
              <w:br w:type="textWrapping"/>
            </w:r>
            <w:r>
              <w:rPr>
                <w:rFonts w:hint="eastAsia" w:ascii="宋体" w:hAnsi="宋体" w:eastAsia="宋体" w:cs="宋体"/>
                <w:b/>
                <w:i w:val="0"/>
                <w:color w:val="000000"/>
                <w:kern w:val="0"/>
                <w:sz w:val="13"/>
                <w:szCs w:val="13"/>
                <w:u w:val="none"/>
                <w:lang w:val="en-US" w:eastAsia="zh-CN" w:bidi="ar"/>
              </w:rPr>
              <w:t>（万元）</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 xml:space="preserve"> 年度预算总额（万元）：28.52</w:t>
            </w:r>
          </w:p>
        </w:tc>
      </w:tr>
      <w:tr>
        <w:tblPrEx>
          <w:shd w:val="clear" w:color="auto" w:fill="auto"/>
          <w:tblCellMar>
            <w:top w:w="0" w:type="dxa"/>
            <w:left w:w="0" w:type="dxa"/>
            <w:bottom w:w="0" w:type="dxa"/>
            <w:right w:w="0" w:type="dxa"/>
          </w:tblCellMar>
        </w:tblPrEx>
        <w:trPr>
          <w:trHeight w:val="34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 xml:space="preserve">       其中：财政拨款 28.52</w:t>
            </w:r>
          </w:p>
        </w:tc>
      </w:tr>
      <w:tr>
        <w:tblPrEx>
          <w:shd w:val="clear" w:color="auto" w:fill="auto"/>
          <w:tblCellMar>
            <w:top w:w="0" w:type="dxa"/>
            <w:left w:w="0" w:type="dxa"/>
            <w:bottom w:w="0" w:type="dxa"/>
            <w:right w:w="0" w:type="dxa"/>
          </w:tblCellMar>
        </w:tblPrEx>
        <w:trPr>
          <w:trHeight w:val="34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 xml:space="preserve">             其他资金  0</w:t>
            </w:r>
          </w:p>
        </w:tc>
      </w:tr>
      <w:tr>
        <w:tblPrEx>
          <w:shd w:val="clear" w:color="auto" w:fill="auto"/>
          <w:tblCellMar>
            <w:top w:w="0" w:type="dxa"/>
            <w:left w:w="0" w:type="dxa"/>
            <w:bottom w:w="0" w:type="dxa"/>
            <w:right w:w="0" w:type="dxa"/>
          </w:tblCellMar>
        </w:tblPrEx>
        <w:trPr>
          <w:trHeight w:val="343"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年度总体目标</w:t>
            </w:r>
          </w:p>
        </w:tc>
      </w:tr>
      <w:tr>
        <w:tblPrEx>
          <w:shd w:val="clear" w:color="auto" w:fill="auto"/>
          <w:tblCellMar>
            <w:top w:w="0" w:type="dxa"/>
            <w:left w:w="0" w:type="dxa"/>
            <w:bottom w:w="0" w:type="dxa"/>
            <w:right w:w="0" w:type="dxa"/>
          </w:tblCellMar>
        </w:tblPrEx>
        <w:trPr>
          <w:trHeight w:val="98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1.完成残疾人帮扶工作，残疾儿童康复救助人数17人，残疾人文化进家庭“五个一”活动享受人数50人，并在全国“爱耳日”和全国“助残日”进行爱耳和助残宣传，保证残疾人群体人人享受康复服务。</w:t>
            </w:r>
            <w:r>
              <w:rPr>
                <w:rFonts w:hint="eastAsia" w:ascii="宋体" w:hAnsi="宋体" w:eastAsia="宋体" w:cs="宋体"/>
                <w:b/>
                <w:i w:val="0"/>
                <w:color w:val="000000"/>
                <w:kern w:val="0"/>
                <w:sz w:val="13"/>
                <w:szCs w:val="13"/>
                <w:u w:val="none"/>
                <w:lang w:val="en-US" w:eastAsia="zh-CN" w:bidi="ar"/>
              </w:rPr>
              <w:br w:type="textWrapping"/>
            </w:r>
            <w:r>
              <w:rPr>
                <w:rFonts w:hint="eastAsia" w:ascii="宋体" w:hAnsi="宋体" w:eastAsia="宋体" w:cs="宋体"/>
                <w:b/>
                <w:i w:val="0"/>
                <w:color w:val="000000"/>
                <w:kern w:val="0"/>
                <w:sz w:val="13"/>
                <w:szCs w:val="13"/>
                <w:u w:val="none"/>
                <w:lang w:val="en-US" w:eastAsia="zh-CN" w:bidi="ar"/>
              </w:rPr>
              <w:t>2.切实保障残疾人生活，发展残疾人事业，营造关心，关爱残疾人群体的社会氛围。</w:t>
            </w:r>
          </w:p>
        </w:tc>
      </w:tr>
      <w:tr>
        <w:tblPrEx>
          <w:tblCellMar>
            <w:top w:w="0" w:type="dxa"/>
            <w:left w:w="0" w:type="dxa"/>
            <w:bottom w:w="0" w:type="dxa"/>
            <w:right w:w="0"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指标值设置依据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上年完成值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指标分值权重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指标赋分规则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佐证资料</w:t>
            </w:r>
          </w:p>
        </w:tc>
      </w:tr>
      <w:tr>
        <w:tblPrEx>
          <w:shd w:val="clear" w:color="auto" w:fill="auto"/>
          <w:tblCellMar>
            <w:top w:w="0" w:type="dxa"/>
            <w:left w:w="0" w:type="dxa"/>
            <w:bottom w:w="0" w:type="dxa"/>
            <w:right w:w="0" w:type="dxa"/>
          </w:tblCellMar>
        </w:tblPrEx>
        <w:trPr>
          <w:trHeight w:val="34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残疾儿童康复救助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≧17人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原始凭证</w:t>
            </w:r>
          </w:p>
        </w:tc>
      </w:tr>
      <w:tr>
        <w:tblPrEx>
          <w:shd w:val="clear" w:color="auto" w:fill="auto"/>
          <w:tblCellMar>
            <w:top w:w="0" w:type="dxa"/>
            <w:left w:w="0" w:type="dxa"/>
            <w:bottom w:w="0" w:type="dxa"/>
            <w:right w:w="0" w:type="dxa"/>
          </w:tblCellMar>
        </w:tblPrEx>
        <w:trPr>
          <w:trHeight w:val="6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残疾人文化进家庭</w:t>
            </w:r>
            <w:r>
              <w:rPr>
                <w:rFonts w:hint="eastAsia" w:ascii="宋体" w:hAnsi="宋体" w:eastAsia="宋体" w:cs="宋体"/>
                <w:b/>
                <w:i w:val="0"/>
                <w:color w:val="000000"/>
                <w:kern w:val="0"/>
                <w:sz w:val="13"/>
                <w:szCs w:val="13"/>
                <w:u w:val="none"/>
                <w:lang w:val="en-US" w:eastAsia="zh-CN" w:bidi="ar"/>
              </w:rPr>
              <w:br w:type="textWrapping"/>
            </w:r>
            <w:r>
              <w:rPr>
                <w:rFonts w:hint="eastAsia" w:ascii="宋体" w:hAnsi="宋体" w:eastAsia="宋体" w:cs="宋体"/>
                <w:b/>
                <w:i w:val="0"/>
                <w:color w:val="000000"/>
                <w:kern w:val="0"/>
                <w:sz w:val="13"/>
                <w:szCs w:val="13"/>
                <w:u w:val="none"/>
                <w:lang w:val="en-US" w:eastAsia="zh-CN" w:bidi="ar"/>
              </w:rPr>
              <w:t>“五个一”活动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原始凭证</w:t>
            </w:r>
          </w:p>
        </w:tc>
      </w:tr>
      <w:tr>
        <w:tblPrEx>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补贴（发放）次数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行业标准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工作资料</w:t>
            </w:r>
          </w:p>
        </w:tc>
      </w:tr>
      <w:tr>
        <w:tblPrEx>
          <w:shd w:val="clear" w:color="auto" w:fill="auto"/>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残疾人精准康复服务覆盖率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行业标准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工作资料</w:t>
            </w:r>
          </w:p>
        </w:tc>
      </w:tr>
      <w:tr>
        <w:tblPrEx>
          <w:shd w:val="clear" w:color="auto" w:fill="auto"/>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资金规范管理使用率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行业标准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直接赋分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原始凭证</w:t>
            </w:r>
          </w:p>
        </w:tc>
      </w:tr>
      <w:tr>
        <w:tblPrEx>
          <w:shd w:val="clear" w:color="auto" w:fill="auto"/>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工作资料</w:t>
            </w:r>
          </w:p>
        </w:tc>
      </w:tr>
      <w:tr>
        <w:tblPrEx>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补贴资金及时发放率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原始凭证</w:t>
            </w:r>
          </w:p>
        </w:tc>
      </w:tr>
      <w:tr>
        <w:tblPrEx>
          <w:shd w:val="clear" w:color="auto" w:fill="auto"/>
          <w:tblCellMar>
            <w:top w:w="0" w:type="dxa"/>
            <w:left w:w="0" w:type="dxa"/>
            <w:bottom w:w="0" w:type="dxa"/>
            <w:right w:w="0" w:type="dxa"/>
          </w:tblCellMar>
        </w:tblPrEx>
        <w:trPr>
          <w:trHeight w:val="34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残疾儿童康复救助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15305元/人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预算支出标准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原始凭证</w:t>
            </w:r>
          </w:p>
        </w:tc>
      </w:tr>
      <w:tr>
        <w:tblPrEx>
          <w:tblCellMar>
            <w:top w:w="0" w:type="dxa"/>
            <w:left w:w="0" w:type="dxa"/>
            <w:bottom w:w="0" w:type="dxa"/>
            <w:right w:w="0" w:type="dxa"/>
          </w:tblCellMar>
        </w:tblPrEx>
        <w:trPr>
          <w:trHeight w:val="6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残疾人文化进家庭</w:t>
            </w:r>
            <w:r>
              <w:rPr>
                <w:rFonts w:hint="eastAsia" w:ascii="宋体" w:hAnsi="宋体" w:eastAsia="宋体" w:cs="宋体"/>
                <w:b/>
                <w:i w:val="0"/>
                <w:color w:val="000000"/>
                <w:kern w:val="0"/>
                <w:sz w:val="13"/>
                <w:szCs w:val="13"/>
                <w:u w:val="none"/>
                <w:lang w:val="en-US" w:eastAsia="zh-CN" w:bidi="ar"/>
              </w:rPr>
              <w:br w:type="textWrapping"/>
            </w:r>
            <w:r>
              <w:rPr>
                <w:rFonts w:hint="eastAsia" w:ascii="宋体" w:hAnsi="宋体" w:eastAsia="宋体" w:cs="宋体"/>
                <w:b/>
                <w:i w:val="0"/>
                <w:color w:val="000000"/>
                <w:kern w:val="0"/>
                <w:sz w:val="13"/>
                <w:szCs w:val="13"/>
                <w:u w:val="none"/>
                <w:lang w:val="en-US" w:eastAsia="zh-CN" w:bidi="ar"/>
              </w:rPr>
              <w:t>“五个一”活动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500元/人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预算支出标准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原始凭证</w:t>
            </w:r>
          </w:p>
        </w:tc>
      </w:tr>
      <w:tr>
        <w:tblPrEx>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r>
      <w:tr>
        <w:tblPrEx>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生态成本指标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r>
      <w:tr>
        <w:tblPrEx>
          <w:shd w:val="clear" w:color="auto" w:fill="auto"/>
          <w:tblCellMar>
            <w:top w:w="0" w:type="dxa"/>
            <w:left w:w="0" w:type="dxa"/>
            <w:bottom w:w="0" w:type="dxa"/>
            <w:right w:w="0" w:type="dxa"/>
          </w:tblCellMar>
        </w:tblPrEx>
        <w:trPr>
          <w:trHeight w:val="343" w:hRule="atLeast"/>
        </w:trPr>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r>
      <w:tr>
        <w:tblPrEx>
          <w:shd w:val="clear" w:color="auto" w:fill="auto"/>
        </w:tblPrEx>
        <w:trPr>
          <w:trHeight w:val="34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残疾人服务政策知晓率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说明材料</w:t>
            </w:r>
          </w:p>
        </w:tc>
      </w:tr>
      <w:tr>
        <w:tblPrEx>
          <w:shd w:val="clear" w:color="auto" w:fill="auto"/>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残疾人康复后活动能力提高率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说明材料</w:t>
            </w:r>
          </w:p>
        </w:tc>
      </w:tr>
      <w:tr>
        <w:tblPrEx>
          <w:shd w:val="clear" w:color="auto" w:fill="auto"/>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r>
      <w:tr>
        <w:tblPrEx>
          <w:tblCellMar>
            <w:top w:w="0" w:type="dxa"/>
            <w:left w:w="0" w:type="dxa"/>
            <w:bottom w:w="0" w:type="dxa"/>
            <w:right w:w="0" w:type="dxa"/>
          </w:tblCellMar>
        </w:tblPrEx>
        <w:trPr>
          <w:trHeight w:val="3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受助残疾人及家属满意度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满意度赋分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工作资料</w:t>
            </w:r>
          </w:p>
        </w:tc>
      </w:tr>
    </w:tbl>
    <w:p>
      <w:pPr>
        <w:ind w:firstLine="160" w:firstLineChars="50"/>
        <w:rPr>
          <w:rFonts w:ascii="仿宋_GB2312" w:eastAsia="仿宋_GB2312"/>
          <w:sz w:val="32"/>
        </w:rPr>
      </w:pP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IxZmMzZDFiMTE1NzkxMjZlMDg2ODQzNDRmOGE2ZTMifQ=="/>
  </w:docVars>
  <w:rsids>
    <w:rsidRoot w:val="00BC13E7"/>
    <w:rsid w:val="00020305"/>
    <w:rsid w:val="000255A7"/>
    <w:rsid w:val="00047598"/>
    <w:rsid w:val="00061306"/>
    <w:rsid w:val="000A202E"/>
    <w:rsid w:val="000A641A"/>
    <w:rsid w:val="000B0E36"/>
    <w:rsid w:val="000E5063"/>
    <w:rsid w:val="00103A25"/>
    <w:rsid w:val="00140F1D"/>
    <w:rsid w:val="00172DA1"/>
    <w:rsid w:val="001805C3"/>
    <w:rsid w:val="0019627A"/>
    <w:rsid w:val="001A5811"/>
    <w:rsid w:val="001A784A"/>
    <w:rsid w:val="001E41D9"/>
    <w:rsid w:val="00236083"/>
    <w:rsid w:val="0024086C"/>
    <w:rsid w:val="002E0910"/>
    <w:rsid w:val="002E1D6B"/>
    <w:rsid w:val="002E2079"/>
    <w:rsid w:val="0031518C"/>
    <w:rsid w:val="00334C08"/>
    <w:rsid w:val="00342C53"/>
    <w:rsid w:val="003450D0"/>
    <w:rsid w:val="003477B9"/>
    <w:rsid w:val="003A2F29"/>
    <w:rsid w:val="003B2CD7"/>
    <w:rsid w:val="00484F56"/>
    <w:rsid w:val="004E0E34"/>
    <w:rsid w:val="00511591"/>
    <w:rsid w:val="005254AD"/>
    <w:rsid w:val="005279D1"/>
    <w:rsid w:val="00537F68"/>
    <w:rsid w:val="00597F7D"/>
    <w:rsid w:val="005A4A8E"/>
    <w:rsid w:val="005E67D9"/>
    <w:rsid w:val="006C45E3"/>
    <w:rsid w:val="00726267"/>
    <w:rsid w:val="0073388E"/>
    <w:rsid w:val="007979C5"/>
    <w:rsid w:val="007F438D"/>
    <w:rsid w:val="0083706D"/>
    <w:rsid w:val="00864DFA"/>
    <w:rsid w:val="008F2A57"/>
    <w:rsid w:val="0090798B"/>
    <w:rsid w:val="0097776E"/>
    <w:rsid w:val="009F4DB1"/>
    <w:rsid w:val="00A23C5A"/>
    <w:rsid w:val="00A57B96"/>
    <w:rsid w:val="00A90E4D"/>
    <w:rsid w:val="00AA0B78"/>
    <w:rsid w:val="00AB4DA4"/>
    <w:rsid w:val="00AC6E82"/>
    <w:rsid w:val="00B35E84"/>
    <w:rsid w:val="00B971A1"/>
    <w:rsid w:val="00BC13E7"/>
    <w:rsid w:val="00BC2204"/>
    <w:rsid w:val="00BC59C9"/>
    <w:rsid w:val="00BF68CA"/>
    <w:rsid w:val="00BF77E4"/>
    <w:rsid w:val="00C47E2B"/>
    <w:rsid w:val="00C66500"/>
    <w:rsid w:val="00C9524D"/>
    <w:rsid w:val="00D160E3"/>
    <w:rsid w:val="00D23108"/>
    <w:rsid w:val="00D26690"/>
    <w:rsid w:val="00D33EE5"/>
    <w:rsid w:val="00D6573B"/>
    <w:rsid w:val="00D757E2"/>
    <w:rsid w:val="00D94B1D"/>
    <w:rsid w:val="00DA2551"/>
    <w:rsid w:val="00DE62EB"/>
    <w:rsid w:val="00E3172D"/>
    <w:rsid w:val="00EA06B2"/>
    <w:rsid w:val="00F13F05"/>
    <w:rsid w:val="00F249BF"/>
    <w:rsid w:val="00F44262"/>
    <w:rsid w:val="00F83955"/>
    <w:rsid w:val="00F960C9"/>
    <w:rsid w:val="00FC6177"/>
    <w:rsid w:val="00FF71C4"/>
    <w:rsid w:val="0E6A41B5"/>
    <w:rsid w:val="139D1FBB"/>
    <w:rsid w:val="199C41CC"/>
    <w:rsid w:val="19C054A7"/>
    <w:rsid w:val="1B4055F3"/>
    <w:rsid w:val="1DC53C82"/>
    <w:rsid w:val="24DF3B0D"/>
    <w:rsid w:val="25985832"/>
    <w:rsid w:val="294558EC"/>
    <w:rsid w:val="2A97058D"/>
    <w:rsid w:val="2C7B6141"/>
    <w:rsid w:val="2F2B5808"/>
    <w:rsid w:val="5C984EBF"/>
    <w:rsid w:val="70942A45"/>
    <w:rsid w:val="71F6134D"/>
    <w:rsid w:val="73B84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TLFDQCZJ</Company>
  <Pages>3</Pages>
  <Words>1081</Words>
  <Characters>176</Characters>
  <Lines>1</Lines>
  <Paragraphs>2</Paragraphs>
  <TotalTime>0</TotalTime>
  <ScaleCrop>false</ScaleCrop>
  <LinksUpToDate>false</LinksUpToDate>
  <CharactersWithSpaces>1255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2020-12-19T10:17:00Z</dcterms:created>
  <dc:creator>李艳春</dc:creator>
  <cp:lastModifiedBy>Administrator</cp:lastModifiedBy>
  <cp:lastPrinted>2024-01-07T05:05:00Z</cp:lastPrinted>
  <dcterms:modified xsi:type="dcterms:W3CDTF">2024-06-27T04:16:51Z</dcterms:modified>
  <dc:title>吐地财社〔2011〕号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96FAD19E85804CA2835228A9F64BA3C1_12</vt:lpwstr>
  </property>
</Properties>
</file>